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D7514" w14:textId="59B66F97" w:rsidR="00ED0C95" w:rsidRPr="0083127E" w:rsidRDefault="00ED0C95" w:rsidP="00ED0C95">
      <w:pPr>
        <w:pStyle w:val="NoSpacing"/>
        <w:jc w:val="center"/>
        <w:rPr>
          <w:rFonts w:ascii="Century" w:hAnsi="Century"/>
          <w:b/>
          <w:bCs/>
          <w:sz w:val="24"/>
          <w:szCs w:val="24"/>
          <w:u w:val="single"/>
        </w:rPr>
      </w:pPr>
      <w:bookmarkStart w:id="0" w:name="_Hlk39126804"/>
      <w:r w:rsidRPr="0083127E">
        <w:rPr>
          <w:rFonts w:ascii="Century" w:hAnsi="Century"/>
          <w:b/>
          <w:bCs/>
          <w:sz w:val="24"/>
          <w:szCs w:val="24"/>
          <w:u w:val="single"/>
        </w:rPr>
        <w:t>Luke 14:</w:t>
      </w:r>
      <w:r w:rsidR="007444FE">
        <w:rPr>
          <w:rFonts w:ascii="Century" w:hAnsi="Century"/>
          <w:b/>
          <w:bCs/>
          <w:sz w:val="24"/>
          <w:szCs w:val="24"/>
          <w:u w:val="single"/>
        </w:rPr>
        <w:t>2</w:t>
      </w:r>
      <w:r w:rsidRPr="0083127E">
        <w:rPr>
          <w:rFonts w:ascii="Century" w:hAnsi="Century"/>
          <w:b/>
          <w:bCs/>
          <w:sz w:val="24"/>
          <w:szCs w:val="24"/>
          <w:u w:val="single"/>
        </w:rPr>
        <w:t>5-</w:t>
      </w:r>
      <w:r w:rsidR="007444FE">
        <w:rPr>
          <w:rFonts w:ascii="Century" w:hAnsi="Century"/>
          <w:b/>
          <w:bCs/>
          <w:sz w:val="24"/>
          <w:szCs w:val="24"/>
          <w:u w:val="single"/>
        </w:rPr>
        <w:t>35</w:t>
      </w:r>
    </w:p>
    <w:p w14:paraId="11D145F4" w14:textId="05BA07C5" w:rsidR="00ED0C95" w:rsidRPr="00133ED1" w:rsidRDefault="00ED0C95" w:rsidP="00ED0C95">
      <w:pPr>
        <w:pStyle w:val="NoSpacing"/>
        <w:jc w:val="center"/>
        <w:rPr>
          <w:rFonts w:ascii="Century" w:hAnsi="Century"/>
          <w:b/>
          <w:bCs/>
          <w:sz w:val="24"/>
          <w:szCs w:val="24"/>
        </w:rPr>
      </w:pPr>
      <w:r w:rsidRPr="00133ED1">
        <w:rPr>
          <w:rFonts w:ascii="Century" w:hAnsi="Century"/>
          <w:b/>
          <w:bCs/>
          <w:sz w:val="24"/>
          <w:szCs w:val="24"/>
        </w:rPr>
        <w:t>“</w:t>
      </w:r>
      <w:r w:rsidR="00496359" w:rsidRPr="00496359">
        <w:rPr>
          <w:rFonts w:ascii="Century" w:hAnsi="Century"/>
          <w:b/>
          <w:bCs/>
          <w:i/>
          <w:iCs/>
          <w:sz w:val="24"/>
          <w:szCs w:val="24"/>
        </w:rPr>
        <w:t>Following Jesus</w:t>
      </w:r>
      <w:r w:rsidRPr="00133ED1">
        <w:rPr>
          <w:rFonts w:ascii="Century" w:hAnsi="Century"/>
          <w:b/>
          <w:bCs/>
          <w:sz w:val="24"/>
          <w:szCs w:val="24"/>
        </w:rPr>
        <w:t>”</w:t>
      </w:r>
    </w:p>
    <w:p w14:paraId="24755245" w14:textId="77777777" w:rsidR="00ED0C95" w:rsidRPr="000362F0" w:rsidRDefault="00ED0C95" w:rsidP="00ED0C95">
      <w:pPr>
        <w:pStyle w:val="NoSpacing"/>
        <w:rPr>
          <w:rFonts w:ascii="Century" w:hAnsi="Century"/>
          <w:sz w:val="16"/>
          <w:szCs w:val="16"/>
        </w:rPr>
      </w:pPr>
    </w:p>
    <w:bookmarkEnd w:id="0"/>
    <w:p w14:paraId="64CFB5D2" w14:textId="5B7659F3" w:rsidR="001C7875" w:rsidRPr="001963FF" w:rsidRDefault="001C7875" w:rsidP="001C7875">
      <w:pPr>
        <w:pStyle w:val="NoSpacing"/>
        <w:rPr>
          <w:rFonts w:ascii="Century" w:hAnsi="Century"/>
          <w:sz w:val="24"/>
          <w:szCs w:val="24"/>
        </w:rPr>
      </w:pPr>
      <w:r w:rsidRPr="00133ED1">
        <w:rPr>
          <w:rFonts w:ascii="Century" w:hAnsi="Century"/>
          <w:b/>
          <w:bCs/>
          <w:sz w:val="24"/>
          <w:szCs w:val="24"/>
          <w:u w:val="single"/>
        </w:rPr>
        <w:t>Introduction</w:t>
      </w:r>
      <w:r w:rsidRPr="00133ED1">
        <w:rPr>
          <w:rFonts w:ascii="Century" w:hAnsi="Century"/>
          <w:b/>
          <w:bCs/>
          <w:sz w:val="24"/>
          <w:szCs w:val="24"/>
        </w:rPr>
        <w:t>:</w:t>
      </w:r>
      <w:r>
        <w:rPr>
          <w:rFonts w:ascii="Century" w:hAnsi="Century"/>
          <w:sz w:val="24"/>
          <w:szCs w:val="24"/>
        </w:rPr>
        <w:t xml:space="preserve"> </w:t>
      </w:r>
    </w:p>
    <w:p w14:paraId="6270A86A" w14:textId="77777777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</w:p>
    <w:p w14:paraId="0F7F202B" w14:textId="7B8FBC53" w:rsidR="001C7875" w:rsidRDefault="002D586B" w:rsidP="002D586B">
      <w:pPr>
        <w:pStyle w:val="NoSpacing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What if any connection exists between this and the last passage?</w:t>
      </w:r>
    </w:p>
    <w:p w14:paraId="3034E7C3" w14:textId="77777777" w:rsidR="001C7875" w:rsidRDefault="001C7875" w:rsidP="001C7875">
      <w:pPr>
        <w:pStyle w:val="NoSpacing"/>
        <w:rPr>
          <w:rFonts w:ascii="Century" w:hAnsi="Century"/>
          <w:sz w:val="24"/>
          <w:szCs w:val="24"/>
        </w:rPr>
      </w:pPr>
    </w:p>
    <w:p w14:paraId="78ABE686" w14:textId="77777777" w:rsidR="001C7875" w:rsidRPr="00971FE1" w:rsidRDefault="001C7875" w:rsidP="001C7875">
      <w:pPr>
        <w:pStyle w:val="NoSpacing"/>
        <w:rPr>
          <w:rFonts w:ascii="Century" w:hAnsi="Century"/>
          <w:b/>
          <w:bCs/>
          <w:sz w:val="24"/>
          <w:szCs w:val="24"/>
        </w:rPr>
      </w:pPr>
      <w:r>
        <w:rPr>
          <w:rFonts w:ascii="Century" w:hAnsi="Century"/>
          <w:b/>
          <w:bCs/>
          <w:sz w:val="24"/>
          <w:szCs w:val="24"/>
        </w:rPr>
        <w:t xml:space="preserve">I. </w:t>
      </w:r>
      <w:r>
        <w:rPr>
          <w:rFonts w:ascii="Century" w:hAnsi="Century"/>
          <w:b/>
          <w:bCs/>
          <w:sz w:val="24"/>
          <w:szCs w:val="24"/>
          <w:u w:val="single"/>
        </w:rPr>
        <w:t>The Requirements</w:t>
      </w:r>
      <w:r w:rsidRPr="00971FE1">
        <w:rPr>
          <w:rFonts w:ascii="Century" w:hAnsi="Century"/>
          <w:b/>
          <w:bCs/>
          <w:sz w:val="24"/>
          <w:szCs w:val="24"/>
        </w:rPr>
        <w:t>:</w:t>
      </w:r>
      <w:r>
        <w:rPr>
          <w:rFonts w:ascii="Century" w:hAnsi="Century"/>
          <w:b/>
          <w:bCs/>
          <w:sz w:val="24"/>
          <w:szCs w:val="24"/>
        </w:rPr>
        <w:t xml:space="preserve"> (vs.25-27)</w:t>
      </w:r>
    </w:p>
    <w:p w14:paraId="1E2351E1" w14:textId="77777777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</w:p>
    <w:p w14:paraId="0C5E1082" w14:textId="667C78B2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A. What led Jesus to give this particular sermon at this time? (vs.25)</w:t>
      </w:r>
    </w:p>
    <w:p w14:paraId="502F2E63" w14:textId="3D13711E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</w:p>
    <w:p w14:paraId="0B498F19" w14:textId="2A536AF8" w:rsidR="001C7875" w:rsidRDefault="002D586B" w:rsidP="002D586B">
      <w:pPr>
        <w:pStyle w:val="NoSpacing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B. </w:t>
      </w:r>
      <w:r w:rsidR="001C7875">
        <w:rPr>
          <w:rFonts w:ascii="Century" w:hAnsi="Century"/>
          <w:sz w:val="24"/>
          <w:szCs w:val="24"/>
        </w:rPr>
        <w:t>What hat</w:t>
      </w:r>
      <w:r>
        <w:rPr>
          <w:rFonts w:ascii="Century" w:hAnsi="Century"/>
          <w:sz w:val="24"/>
          <w:szCs w:val="24"/>
        </w:rPr>
        <w:t xml:space="preserve">ing family </w:t>
      </w:r>
      <w:r w:rsidR="001C7875">
        <w:rPr>
          <w:rFonts w:ascii="Century" w:hAnsi="Century"/>
          <w:sz w:val="24"/>
          <w:szCs w:val="24"/>
        </w:rPr>
        <w:t>doesn’t mean</w:t>
      </w:r>
      <w:r>
        <w:rPr>
          <w:rFonts w:ascii="Century" w:hAnsi="Century"/>
          <w:sz w:val="24"/>
          <w:szCs w:val="24"/>
        </w:rPr>
        <w:t>.</w:t>
      </w:r>
      <w:r w:rsidR="001C7875">
        <w:rPr>
          <w:rFonts w:ascii="Century" w:hAnsi="Century"/>
          <w:sz w:val="24"/>
          <w:szCs w:val="24"/>
        </w:rPr>
        <w:t xml:space="preserve"> (</w:t>
      </w:r>
      <w:r>
        <w:rPr>
          <w:rFonts w:ascii="Century" w:hAnsi="Century"/>
          <w:sz w:val="24"/>
          <w:szCs w:val="24"/>
        </w:rPr>
        <w:t>vs.</w:t>
      </w:r>
      <w:r w:rsidR="001C7875">
        <w:rPr>
          <w:rFonts w:ascii="Century" w:hAnsi="Century"/>
          <w:sz w:val="24"/>
          <w:szCs w:val="24"/>
        </w:rPr>
        <w:t>26)</w:t>
      </w:r>
    </w:p>
    <w:p w14:paraId="6C24F70E" w14:textId="6126B57E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</w:p>
    <w:p w14:paraId="250D81B6" w14:textId="1D1E2503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C. What hating family does mean. (vs.26)</w:t>
      </w:r>
    </w:p>
    <w:p w14:paraId="287E929F" w14:textId="1ACBAFE3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</w:p>
    <w:p w14:paraId="13274DF1" w14:textId="437CC792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D. In what way are we to carry our cross? (vs.27)</w:t>
      </w:r>
    </w:p>
    <w:p w14:paraId="30BCA507" w14:textId="77777777" w:rsidR="001C7875" w:rsidRDefault="001C7875" w:rsidP="001C7875">
      <w:pPr>
        <w:pStyle w:val="NoSpacing"/>
        <w:rPr>
          <w:rFonts w:ascii="Century" w:hAnsi="Century"/>
          <w:sz w:val="24"/>
          <w:szCs w:val="24"/>
        </w:rPr>
      </w:pPr>
    </w:p>
    <w:p w14:paraId="5013D2BC" w14:textId="77777777" w:rsidR="001C7875" w:rsidRPr="005575F1" w:rsidRDefault="001C7875" w:rsidP="001C7875">
      <w:pPr>
        <w:pStyle w:val="NoSpacing"/>
        <w:rPr>
          <w:rFonts w:ascii="Century" w:hAnsi="Century"/>
          <w:b/>
          <w:bCs/>
          <w:sz w:val="24"/>
          <w:szCs w:val="24"/>
        </w:rPr>
      </w:pPr>
      <w:r w:rsidRPr="005575F1">
        <w:rPr>
          <w:rFonts w:ascii="Century" w:hAnsi="Century"/>
          <w:b/>
          <w:bCs/>
          <w:sz w:val="24"/>
          <w:szCs w:val="24"/>
        </w:rPr>
        <w:t xml:space="preserve">II. </w:t>
      </w:r>
      <w:r>
        <w:rPr>
          <w:rFonts w:ascii="Century" w:hAnsi="Century"/>
          <w:b/>
          <w:bCs/>
          <w:sz w:val="24"/>
          <w:szCs w:val="24"/>
          <w:u w:val="single"/>
        </w:rPr>
        <w:t>The Decision</w:t>
      </w:r>
      <w:r w:rsidRPr="005575F1">
        <w:rPr>
          <w:rFonts w:ascii="Century" w:hAnsi="Century"/>
          <w:b/>
          <w:bCs/>
          <w:sz w:val="24"/>
          <w:szCs w:val="24"/>
        </w:rPr>
        <w:t>: (vs.</w:t>
      </w:r>
      <w:r>
        <w:rPr>
          <w:rFonts w:ascii="Century" w:hAnsi="Century"/>
          <w:b/>
          <w:bCs/>
          <w:sz w:val="24"/>
          <w:szCs w:val="24"/>
        </w:rPr>
        <w:t>28</w:t>
      </w:r>
      <w:r w:rsidRPr="005575F1">
        <w:rPr>
          <w:rFonts w:ascii="Century" w:hAnsi="Century"/>
          <w:b/>
          <w:bCs/>
          <w:sz w:val="24"/>
          <w:szCs w:val="24"/>
        </w:rPr>
        <w:t>-</w:t>
      </w:r>
      <w:r>
        <w:rPr>
          <w:rFonts w:ascii="Century" w:hAnsi="Century"/>
          <w:b/>
          <w:bCs/>
          <w:sz w:val="24"/>
          <w:szCs w:val="24"/>
        </w:rPr>
        <w:t>3</w:t>
      </w:r>
      <w:r w:rsidRPr="005575F1">
        <w:rPr>
          <w:rFonts w:ascii="Century" w:hAnsi="Century"/>
          <w:b/>
          <w:bCs/>
          <w:sz w:val="24"/>
          <w:szCs w:val="24"/>
        </w:rPr>
        <w:t>2)</w:t>
      </w:r>
    </w:p>
    <w:p w14:paraId="318AEE96" w14:textId="77777777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</w:p>
    <w:p w14:paraId="3DBC415D" w14:textId="6FC1351D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A. What principle do the analogies teach? (vs.28-32)</w:t>
      </w:r>
    </w:p>
    <w:p w14:paraId="621F8F52" w14:textId="6FCA2B4E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</w:p>
    <w:p w14:paraId="39EC4C78" w14:textId="605429AA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B. What is the central concern in each of the analogies? (vs.28-32)</w:t>
      </w:r>
    </w:p>
    <w:p w14:paraId="17CF566C" w14:textId="77777777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</w:p>
    <w:p w14:paraId="60D24197" w14:textId="77777777" w:rsidR="001C7875" w:rsidRPr="005575F1" w:rsidRDefault="001C7875" w:rsidP="001C7875">
      <w:pPr>
        <w:pStyle w:val="NoSpacing"/>
        <w:rPr>
          <w:rFonts w:ascii="Century" w:hAnsi="Century"/>
          <w:b/>
          <w:bCs/>
          <w:sz w:val="24"/>
          <w:szCs w:val="24"/>
        </w:rPr>
      </w:pPr>
      <w:r w:rsidRPr="005575F1">
        <w:rPr>
          <w:rFonts w:ascii="Century" w:hAnsi="Century"/>
          <w:b/>
          <w:bCs/>
          <w:sz w:val="24"/>
          <w:szCs w:val="24"/>
        </w:rPr>
        <w:t>I</w:t>
      </w:r>
      <w:r>
        <w:rPr>
          <w:rFonts w:ascii="Century" w:hAnsi="Century"/>
          <w:b/>
          <w:bCs/>
          <w:sz w:val="24"/>
          <w:szCs w:val="24"/>
        </w:rPr>
        <w:t>I</w:t>
      </w:r>
      <w:r w:rsidRPr="005575F1">
        <w:rPr>
          <w:rFonts w:ascii="Century" w:hAnsi="Century"/>
          <w:b/>
          <w:bCs/>
          <w:sz w:val="24"/>
          <w:szCs w:val="24"/>
        </w:rPr>
        <w:t xml:space="preserve">I. </w:t>
      </w:r>
      <w:r w:rsidRPr="005575F1">
        <w:rPr>
          <w:rFonts w:ascii="Century" w:hAnsi="Century"/>
          <w:b/>
          <w:bCs/>
          <w:sz w:val="24"/>
          <w:szCs w:val="24"/>
          <w:u w:val="single"/>
        </w:rPr>
        <w:t xml:space="preserve">The </w:t>
      </w:r>
      <w:r>
        <w:rPr>
          <w:rFonts w:ascii="Century" w:hAnsi="Century"/>
          <w:b/>
          <w:bCs/>
          <w:sz w:val="24"/>
          <w:szCs w:val="24"/>
          <w:u w:val="single"/>
        </w:rPr>
        <w:t>Warning</w:t>
      </w:r>
      <w:r w:rsidRPr="005575F1">
        <w:rPr>
          <w:rFonts w:ascii="Century" w:hAnsi="Century"/>
          <w:b/>
          <w:bCs/>
          <w:sz w:val="24"/>
          <w:szCs w:val="24"/>
        </w:rPr>
        <w:t>: (vs.</w:t>
      </w:r>
      <w:r>
        <w:rPr>
          <w:rFonts w:ascii="Century" w:hAnsi="Century"/>
          <w:b/>
          <w:bCs/>
          <w:sz w:val="24"/>
          <w:szCs w:val="24"/>
        </w:rPr>
        <w:t>33</w:t>
      </w:r>
      <w:r w:rsidRPr="005575F1">
        <w:rPr>
          <w:rFonts w:ascii="Century" w:hAnsi="Century"/>
          <w:b/>
          <w:bCs/>
          <w:sz w:val="24"/>
          <w:szCs w:val="24"/>
        </w:rPr>
        <w:t>-</w:t>
      </w:r>
      <w:r>
        <w:rPr>
          <w:rFonts w:ascii="Century" w:hAnsi="Century"/>
          <w:b/>
          <w:bCs/>
          <w:sz w:val="24"/>
          <w:szCs w:val="24"/>
        </w:rPr>
        <w:t>35</w:t>
      </w:r>
      <w:r w:rsidRPr="005575F1">
        <w:rPr>
          <w:rFonts w:ascii="Century" w:hAnsi="Century"/>
          <w:b/>
          <w:bCs/>
          <w:sz w:val="24"/>
          <w:szCs w:val="24"/>
        </w:rPr>
        <w:t>)</w:t>
      </w:r>
    </w:p>
    <w:p w14:paraId="2CF0927D" w14:textId="77777777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</w:p>
    <w:p w14:paraId="75F5E777" w14:textId="399564AB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A. What precisely are believers told to forsake? (vs.33)</w:t>
      </w:r>
    </w:p>
    <w:p w14:paraId="3343CB6A" w14:textId="4ADF6C70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</w:p>
    <w:p w14:paraId="784FD0BD" w14:textId="75792A4F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B. How does the metaphor of salt fit into the flow of thought? (vs.34)</w:t>
      </w:r>
    </w:p>
    <w:p w14:paraId="445907E5" w14:textId="2690A4F3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</w:p>
    <w:p w14:paraId="1614C011" w14:textId="40B28C1F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C. What does the saying “</w:t>
      </w:r>
      <w:r>
        <w:rPr>
          <w:rFonts w:ascii="Century" w:hAnsi="Century"/>
          <w:i/>
          <w:iCs/>
          <w:sz w:val="24"/>
          <w:szCs w:val="24"/>
        </w:rPr>
        <w:t>He who has ears to hear, let him hear</w:t>
      </w:r>
      <w:r>
        <w:rPr>
          <w:rFonts w:ascii="Century" w:hAnsi="Century"/>
          <w:sz w:val="24"/>
          <w:szCs w:val="24"/>
        </w:rPr>
        <w:t>” mean? (vs.35)</w:t>
      </w:r>
    </w:p>
    <w:p w14:paraId="1CB655A2" w14:textId="77777777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</w:p>
    <w:p w14:paraId="5649B510" w14:textId="77777777" w:rsidR="001C7875" w:rsidRPr="00133ED1" w:rsidRDefault="001C7875" w:rsidP="001C7875">
      <w:pPr>
        <w:pStyle w:val="NoSpacing"/>
        <w:rPr>
          <w:rFonts w:ascii="Century" w:hAnsi="Century"/>
          <w:b/>
          <w:bCs/>
          <w:sz w:val="24"/>
          <w:szCs w:val="24"/>
        </w:rPr>
      </w:pPr>
      <w:r w:rsidRPr="00133ED1">
        <w:rPr>
          <w:rFonts w:ascii="Century" w:hAnsi="Century"/>
          <w:b/>
          <w:bCs/>
          <w:sz w:val="24"/>
          <w:szCs w:val="24"/>
          <w:u w:val="single"/>
        </w:rPr>
        <w:t>Conclusion</w:t>
      </w:r>
      <w:r w:rsidRPr="00133ED1">
        <w:rPr>
          <w:rFonts w:ascii="Century" w:hAnsi="Century"/>
          <w:b/>
          <w:bCs/>
          <w:sz w:val="24"/>
          <w:szCs w:val="24"/>
        </w:rPr>
        <w:t>:</w:t>
      </w:r>
    </w:p>
    <w:p w14:paraId="0A961446" w14:textId="77777777" w:rsidR="002D586B" w:rsidRDefault="002D586B" w:rsidP="002D586B">
      <w:pPr>
        <w:pStyle w:val="NoSpacing"/>
        <w:rPr>
          <w:rFonts w:ascii="Century" w:hAnsi="Century"/>
          <w:sz w:val="24"/>
          <w:szCs w:val="24"/>
        </w:rPr>
      </w:pPr>
    </w:p>
    <w:p w14:paraId="1D6CE964" w14:textId="069CCA44" w:rsidR="001C7875" w:rsidRPr="002E39E2" w:rsidRDefault="002D586B" w:rsidP="002D586B">
      <w:pPr>
        <w:pStyle w:val="NoSpacing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What are ways we can apply what Jesus teaches us here?</w:t>
      </w:r>
    </w:p>
    <w:p w14:paraId="23D25F5D" w14:textId="77777777" w:rsidR="001C7875" w:rsidRPr="002E39E2" w:rsidRDefault="001C7875" w:rsidP="001C7875">
      <w:pPr>
        <w:pStyle w:val="NoSpacing"/>
        <w:rPr>
          <w:rFonts w:ascii="Century" w:hAnsi="Century"/>
          <w:sz w:val="24"/>
          <w:szCs w:val="24"/>
        </w:rPr>
      </w:pPr>
    </w:p>
    <w:sectPr w:rsidR="001C7875" w:rsidRPr="002E3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E82"/>
    <w:multiLevelType w:val="hybridMultilevel"/>
    <w:tmpl w:val="98C6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23367"/>
    <w:multiLevelType w:val="hybridMultilevel"/>
    <w:tmpl w:val="4B42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3F11FD"/>
    <w:multiLevelType w:val="hybridMultilevel"/>
    <w:tmpl w:val="A5B6D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0C0CEF"/>
    <w:multiLevelType w:val="hybridMultilevel"/>
    <w:tmpl w:val="E03E6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0535DB"/>
    <w:multiLevelType w:val="hybridMultilevel"/>
    <w:tmpl w:val="93E64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CB7B03"/>
    <w:multiLevelType w:val="hybridMultilevel"/>
    <w:tmpl w:val="F620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515227B"/>
    <w:multiLevelType w:val="hybridMultilevel"/>
    <w:tmpl w:val="FFC0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075CD9"/>
    <w:multiLevelType w:val="hybridMultilevel"/>
    <w:tmpl w:val="50B2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8C0B7F"/>
    <w:multiLevelType w:val="hybridMultilevel"/>
    <w:tmpl w:val="5AD8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E17521"/>
    <w:multiLevelType w:val="hybridMultilevel"/>
    <w:tmpl w:val="75D2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F523FA"/>
    <w:multiLevelType w:val="hybridMultilevel"/>
    <w:tmpl w:val="B48009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66BBA"/>
    <w:multiLevelType w:val="hybridMultilevel"/>
    <w:tmpl w:val="16DA0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FB62C6"/>
    <w:multiLevelType w:val="hybridMultilevel"/>
    <w:tmpl w:val="3B3CE8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F2126"/>
    <w:multiLevelType w:val="hybridMultilevel"/>
    <w:tmpl w:val="B518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C0B0AA2"/>
    <w:multiLevelType w:val="hybridMultilevel"/>
    <w:tmpl w:val="282C9D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2"/>
  </w:num>
  <w:num w:numId="5">
    <w:abstractNumId w:val="0"/>
  </w:num>
  <w:num w:numId="6">
    <w:abstractNumId w:val="11"/>
  </w:num>
  <w:num w:numId="7">
    <w:abstractNumId w:val="14"/>
  </w:num>
  <w:num w:numId="8">
    <w:abstractNumId w:val="12"/>
  </w:num>
  <w:num w:numId="9">
    <w:abstractNumId w:val="10"/>
  </w:num>
  <w:num w:numId="10">
    <w:abstractNumId w:val="7"/>
  </w:num>
  <w:num w:numId="11">
    <w:abstractNumId w:val="4"/>
  </w:num>
  <w:num w:numId="12">
    <w:abstractNumId w:val="5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F6"/>
    <w:rsid w:val="00031E29"/>
    <w:rsid w:val="000362F0"/>
    <w:rsid w:val="000540D9"/>
    <w:rsid w:val="0006007E"/>
    <w:rsid w:val="00133ED1"/>
    <w:rsid w:val="001963FF"/>
    <w:rsid w:val="001C7875"/>
    <w:rsid w:val="002964B2"/>
    <w:rsid w:val="002A6183"/>
    <w:rsid w:val="002D586B"/>
    <w:rsid w:val="002E39E2"/>
    <w:rsid w:val="004845A7"/>
    <w:rsid w:val="00496359"/>
    <w:rsid w:val="004A7C2F"/>
    <w:rsid w:val="00570B11"/>
    <w:rsid w:val="005E5559"/>
    <w:rsid w:val="006436B0"/>
    <w:rsid w:val="007444FE"/>
    <w:rsid w:val="00785664"/>
    <w:rsid w:val="0083127E"/>
    <w:rsid w:val="00861520"/>
    <w:rsid w:val="008E6D0E"/>
    <w:rsid w:val="00924B2C"/>
    <w:rsid w:val="009A2CDF"/>
    <w:rsid w:val="00B4500B"/>
    <w:rsid w:val="00B62C14"/>
    <w:rsid w:val="00B879F6"/>
    <w:rsid w:val="00BC2366"/>
    <w:rsid w:val="00C0522C"/>
    <w:rsid w:val="00C93040"/>
    <w:rsid w:val="00D153DF"/>
    <w:rsid w:val="00EA4B81"/>
    <w:rsid w:val="00ED0C95"/>
    <w:rsid w:val="00F72F12"/>
    <w:rsid w:val="00F73A6D"/>
    <w:rsid w:val="00F80095"/>
    <w:rsid w:val="00F8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0472"/>
  <w15:chartTrackingRefBased/>
  <w15:docId w15:val="{3E9E5881-3D93-4213-8DC3-23E83F07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6F33-5BE2-4767-96B7-E1770CE8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26</cp:revision>
  <dcterms:created xsi:type="dcterms:W3CDTF">2020-04-04T23:35:00Z</dcterms:created>
  <dcterms:modified xsi:type="dcterms:W3CDTF">2020-05-02T18:07:00Z</dcterms:modified>
</cp:coreProperties>
</file>