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ascii="Calibri" w:hAnsi="Calibri"/>
          <w:b/>
          <w:i w:val="0"/>
          <w:color w:val="8E7322"/>
          <w:sz w:val="22"/>
        </w:rPr>
        <w:t>OGPRO  ·  COURSE 1  ·  MODULE 13  ·  GATE 3</w:t>
      </w:r>
    </w:p>
    <w:p>
      <w:pPr>
        <w:spacing w:before="80" w:after="160"/>
        <w:jc w:val="center"/>
      </w:pPr>
      <w:r>
        <w:rPr>
          <w:rFonts w:ascii="Calibri" w:hAnsi="Calibri"/>
          <w:b/>
          <w:i w:val="0"/>
          <w:color w:val="12243F"/>
          <w:sz w:val="44"/>
        </w:rPr>
        <w:t>CASE STUDY SUBMISSION TEMPLATE</w:t>
      </w:r>
    </w:p>
    <w:p>
      <w:pPr>
        <w:spacing w:before="40" w:after="160"/>
        <w:jc w:val="center"/>
      </w:pPr>
      <w:r>
        <w:rPr>
          <w:rFonts w:ascii="Calibri" w:hAnsi="Calibri"/>
          <w:b w:val="0"/>
          <w:i/>
          <w:color w:val="8E7322"/>
          <w:sz w:val="24"/>
        </w:rPr>
        <w:t>Offline working draft  ·  mirrors the Typeform field structure exactly</w:t>
      </w:r>
    </w:p>
    <w:p>
      <w:pPr>
        <w:spacing w:before="40" w:after="280"/>
        <w:jc w:val="center"/>
      </w:pPr>
      <w:r>
        <w:rPr>
          <w:rFonts w:ascii="Calibri" w:hAnsi="Calibri"/>
          <w:b w:val="0"/>
          <w:i/>
          <w:color w:val="7A7468"/>
          <w:sz w:val="20"/>
        </w:rPr>
        <w:t>v1.1  ·  April 2026  ·  advisor@ogpro.org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8" w:color="B89530"/>
              <w:start w:val="single" w:sz="32" w:color="B89530"/>
              <w:bottom w:val="single" w:sz="8" w:color="B89530"/>
              <w:end w:val="single" w:sz="8" w:color="B89530"/>
            </w:tcBorders>
            <w:shd w:val="clear" w:color="auto" w:fill="F1E6CC"/>
            <w:tcMar>
              <w:top w:w="160" w:type="dxa"/>
              <w:start w:w="200" w:type="dxa"/>
              <w:bottom w:w="160" w:type="dxa"/>
              <w:end w:w="200" w:type="dxa"/>
            </w:tcMar>
          </w:tcPr>
          <w:p/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8E7322"/>
                <w:sz w:val="22"/>
              </w:rPr>
              <w:t>HOW TO USE THIS TEMPLATE</w:t>
            </w:r>
          </w:p>
          <w:p>
            <w:pPr>
              <w:spacing w:before="40" w:after="40"/>
              <w:ind w:left="288"/>
            </w:pPr>
            <w:r>
              <w:rPr>
                <w:rFonts w:ascii="Calibri" w:hAnsi="Calibri"/>
                <w:b w:val="0"/>
                <w:i w:val="0"/>
                <w:color w:val="2C2C2C"/>
                <w:sz w:val="22"/>
              </w:rPr>
              <w:t>•  Fill in this document offline as you work through your case. Save as you go.</w:t>
            </w:r>
          </w:p>
          <w:p>
            <w:pPr>
              <w:spacing w:before="40" w:after="40"/>
              <w:ind w:left="288"/>
            </w:pPr>
            <w:r>
              <w:rPr>
                <w:rFonts w:ascii="Calibri" w:hAnsi="Calibri"/>
                <w:b w:val="0"/>
                <w:i w:val="0"/>
                <w:color w:val="2C2C2C"/>
                <w:sz w:val="22"/>
              </w:rPr>
              <w:t>•  When complete, transcribe into the Module 13 case-submission Typeform on Podia (Lesson 13.3, 13.4, 13.5, 13.6, or 13.7 depending on which case this is).</w:t>
            </w:r>
          </w:p>
          <w:p>
            <w:pPr>
              <w:spacing w:before="40" w:after="40"/>
              <w:ind w:left="288"/>
            </w:pPr>
            <w:r>
              <w:rPr>
                <w:rFonts w:ascii="Calibri" w:hAnsi="Calibri"/>
                <w:b w:val="0"/>
                <w:i w:val="0"/>
                <w:color w:val="2C2C2C"/>
                <w:sz w:val="22"/>
              </w:rPr>
              <w:t>•  The Typeform field structure mirrors this template exactly — same seven sections, same prompts, same attestations.</w:t>
            </w:r>
          </w:p>
          <w:p>
            <w:pPr>
              <w:spacing w:before="40" w:after="40"/>
              <w:ind w:left="288"/>
            </w:pPr>
            <w:r>
              <w:rPr>
                <w:rFonts w:ascii="Calibri" w:hAnsi="Calibri"/>
                <w:b w:val="0"/>
                <w:i w:val="0"/>
                <w:color w:val="2C2C2C"/>
                <w:sz w:val="22"/>
              </w:rPr>
              <w:t>•  Anonymization is non-negotiable. 10 of 100 rubric points depend on it. See the §1 reminder before you start.</w:t>
            </w:r>
          </w:p>
        </w:tc>
      </w:tr>
    </w:tbl>
    <w:p>
      <w:pPr>
        <w:spacing w:before="240"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8" w:color="8C3A2A"/>
              <w:start w:val="single" w:sz="32" w:color="8C3A2A"/>
              <w:bottom w:val="single" w:sz="8" w:color="8C3A2A"/>
              <w:end w:val="single" w:sz="8" w:color="8C3A2A"/>
            </w:tcBorders>
            <w:shd w:val="clear" w:color="auto" w:fill="F7E8E0"/>
            <w:tcMar>
              <w:top w:w="160" w:type="dxa"/>
              <w:start w:w="200" w:type="dxa"/>
              <w:bottom w:w="160" w:type="dxa"/>
              <w:end w:w="200" w:type="dxa"/>
            </w:tcMar>
          </w:tcPr>
          <w:p/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8C3A2A"/>
                <w:sz w:val="22"/>
              </w:rPr>
              <w:t>ANONYMIZATION  ·  WHAT GOES IN, WHAT STAYS OUT</w:t>
            </w:r>
          </w:p>
          <w:p>
            <w:pPr>
              <w:spacing w:before="40" w:after="80"/>
            </w:pPr>
            <w:r>
              <w:rPr>
                <w:rFonts w:ascii="Calibri" w:hAnsi="Calibri"/>
                <w:b/>
                <w:i w:val="0"/>
                <w:color w:val="1F3A2A"/>
                <w:sz w:val="20"/>
              </w:rPr>
              <w:t xml:space="preserve">INCLUDE: </w:t>
            </w: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species · breed at category level · age at case start · body weight · sex/repro status · region only (e.g. Mountain West) · dates as month/year only.</w:t>
            </w:r>
          </w:p>
          <w:p>
            <w:pPr>
              <w:spacing w:before="40" w:after="0"/>
            </w:pPr>
            <w:r>
              <w:rPr>
                <w:rFonts w:ascii="Calibri" w:hAnsi="Calibri"/>
                <w:b/>
                <w:i w:val="0"/>
                <w:color w:val="8C3A2A"/>
                <w:sz w:val="20"/>
              </w:rPr>
              <w:t xml:space="preserve">EXCLUDE: </w:t>
            </w: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patient name · owner name · family details · identifying coat-color + breed combinations · city, ZIP, clinic name, practice address · day-of-month dates · photos showing owner/staff faces, collar tags, microchip IDs, chart numbers · phone numbers, emails, social handles in any uploaded image.</w:t>
            </w:r>
          </w:p>
        </w:tc>
      </w:tr>
    </w:tbl>
    <w:p>
      <w:pPr>
        <w:spacing w:before="360" w:after="0"/>
      </w:pPr>
    </w:p>
    <w:p>
      <w:pPr>
        <w:spacing w:before="0" w:after="80"/>
      </w:pPr>
      <w:r>
        <w:rPr>
          <w:rFonts w:ascii="Calibri" w:hAnsi="Calibri"/>
          <w:b/>
          <w:i w:val="0"/>
          <w:color w:val="8E7322"/>
          <w:sz w:val="22"/>
        </w:rPr>
        <w:t>CASE ROUTE  ·  WHICH GATE 3 LESSON THIS CASE FILLS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8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Lesson submitting under</w:t>
            </w:r>
          </w:p>
        </w:tc>
        <w:tc>
          <w:tcPr>
            <w:tcW w:type="dxa" w:w="720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☐ 13.3 — Module 8 (one)    ☐ 13.4 — Module 9 (first sub-route)    ☐ 13.5 — Module 9 (second distinct sub-route)    ☐ 13.6 — Module 10 (first sub-route)    ☐ 13.7 — Module 10 (second distinct sub-route)</w:t>
            </w:r>
          </w:p>
        </w:tc>
      </w:tr>
    </w:tbl>
    <w:p>
      <w:pPr>
        <w:spacing w:before="160" w:after="80"/>
      </w:pPr>
      <w:r>
        <w:rPr>
          <w:rFonts w:ascii="Calibri" w:hAnsi="Calibri"/>
          <w:b/>
          <w:i w:val="0"/>
          <w:color w:val="8E7322"/>
          <w:sz w:val="22"/>
        </w:rPr>
        <w:t>SUB-ROUTE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8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If Module 8:</w:t>
            </w:r>
          </w:p>
        </w:tc>
        <w:tc>
          <w:tcPr>
            <w:tcW w:type="dxa" w:w="720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☐ Topical    ☐ Oral    ☐ Nebulizer    ☐ Livestock</w:t>
            </w:r>
          </w:p>
        </w:tc>
      </w:tr>
      <w:tr>
        <w:tc>
          <w:tcPr>
            <w:tcW w:type="dxa" w:w="28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If Module 9:</w:t>
            </w:r>
          </w:p>
        </w:tc>
        <w:tc>
          <w:tcPr>
            <w:tcW w:type="dxa" w:w="720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☐ Subcutaneous (Circle the Dragon)    ☐ Intralesional    ☐ PROG (joint)</w:t>
            </w:r>
          </w:p>
        </w:tc>
      </w:tr>
      <w:tr>
        <w:tc>
          <w:tcPr>
            <w:tcW w:type="dxa" w:w="28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If Module 10:</w:t>
            </w:r>
          </w:p>
        </w:tc>
        <w:tc>
          <w:tcPr>
            <w:tcW w:type="dxa" w:w="720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☐ Intraperitoneal (IP)    ☐ Intravenous (IV)    ☐ Local Infusion</w:t>
            </w:r>
          </w:p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1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1  —  Demographics</w:t>
      </w:r>
    </w:p>
    <w:p>
      <w:pPr>
        <w:spacing w:before="0" w:after="160"/>
      </w:pPr>
      <w:r>
        <w:rPr>
          <w:rFonts w:ascii="Calibri" w:hAnsi="Calibri"/>
          <w:b w:val="0"/>
          <w:i/>
          <w:color w:val="7A7468"/>
          <w:sz w:val="20"/>
        </w:rPr>
        <w:t>Anonymized patient information. Use category-level breed (“Lab mix” not “red merle Aussie”), region only, dates as month/year.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Case title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(short anonymized handle, e.g. “6yo Lab-mix MN, R partial CCL tear, 8-wk PROG”)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Species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Dog / Cat / Horse / Goat / etc.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Breed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Category level only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Age at case start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Years and months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Body weight at case start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lb (kg)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Sex / repro status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MN, FS, MI, FI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Region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(US): Mountain West / Pacific NW / Southeast / Northeast / etc.  Outside US: country only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Case date range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Month/year format only, e.g. October 2025 to January 2026</w:t>
            </w:r>
          </w:p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2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2  —  Presenting Complaint &amp; Diagnostic Workup</w:t>
      </w:r>
    </w:p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Chief complaint at presentation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What the owner brought the patient in for. 50–150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80" w:type="dxa"/>
              <w:end w:w="120" w:type="dxa"/>
            </w:tcMar>
          </w:tcPr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History of present illness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Timeline of symptoms, prior treatments tried, prior workup, response to date. 100–300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480" w:type="dxa"/>
              <w:end w:w="120" w:type="dxa"/>
            </w:tcMar>
          </w:tcPr>
          <w:p/>
          <w:p/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Relevant past medical history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Prior orthopedic / oncology / chronic conditions; chronic medications; vaccines if relevant. 50–150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80" w:type="dxa"/>
              <w:end w:w="120" w:type="dxa"/>
            </w:tcMar>
          </w:tcPr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Physical examination findings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Vitals, BCS, gait, orthopedic / neurologic / dermatologic exam as relevant. 100–250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280" w:type="dxa"/>
              <w:end w:w="120" w:type="dxa"/>
            </w:tcMar>
          </w:tcPr>
          <w:p/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Diagnostic workup performed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Imaging, labs, cytology, histopathology with key findings. 100–300 words. Anonymized images uploaded in Section 7.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280" w:type="dxa"/>
              <w:end w:w="120" w:type="dxa"/>
            </w:tcMar>
          </w:tcPr>
          <w:p/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Diagnosis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Definitive or working diagnosis. 50–150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680" w:type="dxa"/>
              <w:end w:w="120" w:type="dxa"/>
            </w:tcMar>
          </w:tcPr>
          <w:p/>
          <w:p/>
          <w:p/>
          <w:p/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3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3  —  OG Protocol Applied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Module / Lesson referenced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e.g. Module 9 Lesson 9.4 — PROG / Joint OG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OG source / batch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Supplier, batch number (may redact), COA on file? in-clinic ppm spot-check result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OG concentration used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10,000 ppm · 2.5% · PROG ratio · etc.</w:t>
            </w:r>
          </w:p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Stock formula prepared (if applicable)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Per session preparation — OG mL + adjuncts mL + buffer mL = total mL stock. 50–150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80" w:type="dxa"/>
              <w:end w:w="120" w:type="dxa"/>
            </w:tcMar>
          </w:tcPr>
          <w:p/>
          <w:p/>
          <w:p/>
          <w:p/>
          <w:p/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Buffering confirmation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8.4% NaHCO₃ ratio used, or N/A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Lidocaine verification (if used)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Confirmed preservative-free, WITHOUT epinephrine — verified by label?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Warming temperature (if applicable)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Body temp / room temp / N/A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DMSO addition (if applicable)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Yes/No · ratio if yes · indication-specific reasoning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Sedation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Yes/No · protocol if yes</w:t>
            </w:r>
          </w:p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Administration technique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Patient positioning, landmarks, needle gauge / length, injection volume, speed, post-injection management. 100–300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280" w:type="dxa"/>
              <w:end w:w="120" w:type="dxa"/>
            </w:tcMar>
          </w:tcPr>
          <w:p/>
          <w:p/>
          <w:p/>
          <w:p/>
          <w:p/>
          <w:p/>
          <w:p/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Session count planned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Number of sessions and interval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Session count completed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Actual number completed</w:t>
            </w:r>
          </w:p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Why this protocol was chosen — 4-question framework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(1) OG-responsive indication?  (2) Patient candidacy?  (3) Team readiness?  (4) Owner engagement?  Address each. 100–250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480" w:type="dxa"/>
              <w:end w:w="120" w:type="dxa"/>
            </w:tcMar>
          </w:tcPr>
          <w:p/>
          <w:p/>
          <w:p/>
          <w:p/>
          <w:p/>
          <w:p/>
          <w:p/>
          <w:p/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4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4  —  Course of Treatment</w:t>
      </w:r>
    </w:p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Before measurements (baseline at intake)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Quantifiable baselines: pain score, lameness grade, ROM, lesion size, lab values, owner-reported frequency. 50–200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200" w:after="40"/>
      </w:pPr>
      <w:r>
        <w:rPr>
          <w:rFonts w:ascii="Calibri" w:hAnsi="Calibri"/>
          <w:b/>
          <w:i w:val="0"/>
          <w:color w:val="12243F"/>
          <w:sz w:val="22"/>
        </w:rPr>
        <w:t>Session-by-session log</w:t>
      </w:r>
    </w:p>
    <w:p>
      <w:pPr>
        <w:spacing w:before="0" w:after="80"/>
      </w:pPr>
      <w:r>
        <w:rPr>
          <w:rFonts w:ascii="Calibri" w:hAnsi="Calibri"/>
          <w:b w:val="0"/>
          <w:i/>
          <w:color w:val="7A7468"/>
          <w:sz w:val="20"/>
        </w:rPr>
        <w:t>Add rows as needed for your session count. Add objective measurements where possible.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1008"/>
            <w:tcBorders>
              <w:top w:val="single" w:sz="4" w:color="12243F"/>
              <w:start w:val="single" w:sz="4" w:color="12243F"/>
              <w:bottom w:val="single" w:sz="4" w:color="12243F"/>
              <w:end w:val="single" w:sz="4" w:color="12243F"/>
            </w:tcBorders>
            <w:shd w:val="clear" w:color="auto" w:fill="12243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B89530"/>
                <w:sz w:val="18"/>
              </w:rPr>
              <w:t>Visit</w:t>
            </w:r>
          </w:p>
        </w:tc>
        <w:tc>
          <w:tcPr>
            <w:tcW w:type="dxa" w:w="1296"/>
            <w:tcBorders>
              <w:top w:val="single" w:sz="4" w:color="12243F"/>
              <w:start w:val="single" w:sz="4" w:color="12243F"/>
              <w:bottom w:val="single" w:sz="4" w:color="12243F"/>
              <w:end w:val="single" w:sz="4" w:color="12243F"/>
            </w:tcBorders>
            <w:shd w:val="clear" w:color="auto" w:fill="12243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B89530"/>
                <w:sz w:val="18"/>
              </w:rPr>
              <w:t>Date (mo/yr)</w:t>
            </w:r>
          </w:p>
        </w:tc>
        <w:tc>
          <w:tcPr>
            <w:tcW w:type="dxa" w:w="1728"/>
            <w:tcBorders>
              <w:top w:val="single" w:sz="4" w:color="12243F"/>
              <w:start w:val="single" w:sz="4" w:color="12243F"/>
              <w:bottom w:val="single" w:sz="4" w:color="12243F"/>
              <w:end w:val="single" w:sz="4" w:color="12243F"/>
            </w:tcBorders>
            <w:shd w:val="clear" w:color="auto" w:fill="12243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B89530"/>
                <w:sz w:val="18"/>
              </w:rPr>
              <w:t>Pain / Severity</w:t>
            </w:r>
          </w:p>
        </w:tc>
        <w:tc>
          <w:tcPr>
            <w:tcW w:type="dxa" w:w="1440"/>
            <w:tcBorders>
              <w:top w:val="single" w:sz="4" w:color="12243F"/>
              <w:start w:val="single" w:sz="4" w:color="12243F"/>
              <w:bottom w:val="single" w:sz="4" w:color="12243F"/>
              <w:end w:val="single" w:sz="4" w:color="12243F"/>
            </w:tcBorders>
            <w:shd w:val="clear" w:color="auto" w:fill="12243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B89530"/>
                <w:sz w:val="18"/>
              </w:rPr>
              <w:t>Tolerance</w:t>
            </w:r>
          </w:p>
        </w:tc>
        <w:tc>
          <w:tcPr>
            <w:tcW w:type="dxa" w:w="4608"/>
            <w:tcBorders>
              <w:top w:val="single" w:sz="4" w:color="12243F"/>
              <w:start w:val="single" w:sz="4" w:color="12243F"/>
              <w:bottom w:val="single" w:sz="4" w:color="12243F"/>
              <w:end w:val="single" w:sz="4" w:color="12243F"/>
            </w:tcBorders>
            <w:shd w:val="clear" w:color="auto" w:fill="12243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B89530"/>
                <w:sz w:val="18"/>
              </w:rPr>
              <w:t>Owner-reported / clinician notes</w:t>
            </w:r>
          </w:p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1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2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3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4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5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6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7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8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9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10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11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12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  <w:tr>
        <w:tc>
          <w:tcPr>
            <w:tcW w:type="dxa" w:w="10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18"/>
              </w:rPr>
              <w:t>Visit 13</w:t>
            </w:r>
          </w:p>
        </w:tc>
        <w:tc>
          <w:tcPr>
            <w:tcW w:type="dxa" w:w="129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72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144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  <w:tc>
          <w:tcPr>
            <w:tcW w:type="dxa" w:w="460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Between-session recheck findings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Trend across visits — was the trajectory linear? Any plateaus, regressions, side effects, owner concerns? 100–250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After measurements (post-treatment / endpoint)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Same quantifiable measures as baseline, side-by-side, at the protocol endpoint or at week-12 reassessment. 50–200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5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5  —  Outcome Assessment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168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shd w:val="clear" w:color="auto" w:fill="EFE6C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0"/>
              </w:rPr>
              <w:t>80/10/10 response category</w:t>
            </w:r>
          </w:p>
        </w:tc>
        <w:tc>
          <w:tcPr>
            <w:tcW w:type="dxa" w:w="6912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/>
                <w:color w:val="7A7468"/>
                <w:sz w:val="20"/>
              </w:rPr>
              <w:t>☐ Meaningful response (~80%)    ☐ Partial response (~10%)    ☐ Minimal/no response (~10%)</w:t>
            </w:r>
          </w:p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Objective measures of outcome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Quantitative comparison: before → after for each measurable. e.g. “Pain on palpation 7/10 → 1/10 (86% reduction).” 50–250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Owner-reported quality of life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What the owner reports about return to function, behavior changes, daily-life impact. Direct quotes ok. 50–250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Duration of response (so far)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How long has the response held? Endpoint reassessment date, planned recheck schedule, any booster series planned. 50–200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80" w:type="dxa"/>
              <w:end w:w="120" w:type="dxa"/>
            </w:tcMar>
          </w:tcPr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Honest framing  — required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Frame the outcome as observed, not as hoped. If it was disappointing, say so. If it was a partial response, do not call it a cure. Explicitly address Module 12 Lesson 12.3 no-claims discipline. 100–300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480" w:type="dxa"/>
              <w:end w:w="120" w:type="dxa"/>
            </w:tcMar>
          </w:tcPr>
          <w:p/>
          <w:p/>
          <w:p/>
          <w:p/>
          <w:p/>
          <w:p/>
          <w:p/>
          <w:p/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6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6  —  Practitioner Reflection</w:t>
      </w:r>
    </w:p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What would you do differently?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Specific protocol changes, timing, owner conversation, patient selection. 100–250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What surprised you?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Anything in the response, side-effect profile, owner reaction, or operational logistics that you didn’t expect. 50–200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80" w:type="dxa"/>
              <w:end w:w="120" w:type="dxa"/>
            </w:tcMar>
          </w:tcPr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How did this case refine your understanding of OG?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What does this case teach about the route, the indication, or your overall framework? 100–250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1080" w:type="dxa"/>
              <w:end w:w="120" w:type="dxa"/>
            </w:tcMar>
          </w:tcPr>
          <w:p/>
          <w:p/>
          <w:p/>
          <w:p/>
          <w:p/>
          <w:p/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12243F"/>
          <w:sz w:val="22"/>
        </w:rPr>
        <w:t>Operational lesson the practice took from this case</w:t>
      </w:r>
    </w:p>
    <w:p>
      <w:pPr>
        <w:spacing w:before="0" w:after="40"/>
      </w:pPr>
      <w:r>
        <w:rPr>
          <w:rFonts w:ascii="Calibri" w:hAnsi="Calibri"/>
          <w:b w:val="0"/>
          <w:i/>
          <w:color w:val="7A7468"/>
          <w:sz w:val="20"/>
        </w:rPr>
        <w:t>Documentation, scheduling, team workflow, fee structure, owner communication — something the practice changed because of this case. 50–200 words.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80" w:type="dxa"/>
              <w:start w:w="120" w:type="dxa"/>
              <w:bottom w:w="880" w:type="dxa"/>
              <w:end w:w="120" w:type="dxa"/>
            </w:tcMar>
          </w:tcPr>
          <w:p/>
          <w:p/>
          <w:p/>
          <w:p/>
          <w:p/>
        </w:tc>
      </w:tr>
    </w:tbl>
    <w:p>
      <w:pPr>
        <w:spacing w:before="400" w:after="40"/>
      </w:pPr>
      <w:r>
        <w:rPr>
          <w:rFonts w:ascii="Calibri" w:hAnsi="Calibri"/>
          <w:b/>
          <w:i w:val="0"/>
          <w:color w:val="8E7322"/>
          <w:sz w:val="20"/>
        </w:rPr>
        <w:t>SECTION 7</w:t>
      </w:r>
    </w:p>
    <w:p>
      <w:pPr>
        <w:spacing w:before="0" w:after="160"/>
      </w:pPr>
      <w:r>
        <w:rPr>
          <w:rFonts w:ascii="Calibri" w:hAnsi="Calibri"/>
          <w:b/>
          <w:i w:val="0"/>
          <w:color w:val="12243F"/>
          <w:sz w:val="36"/>
        </w:rPr>
        <w:t>Section 7  —  Attestations &amp; File Uploads</w:t>
      </w:r>
    </w:p>
    <w:p>
      <w:pPr>
        <w:spacing w:before="0" w:after="160"/>
      </w:pPr>
      <w:r>
        <w:rPr>
          <w:rFonts w:ascii="Calibri" w:hAnsi="Calibri"/>
          <w:b w:val="0"/>
          <w:i/>
          <w:color w:val="8E7322"/>
          <w:sz w:val="20"/>
        </w:rPr>
        <w:t>All six attestations are required. Tick each box — unchecked submissions cannot be reviewed.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8E7322"/>
                <w:sz w:val="36"/>
              </w:rPr>
              <w:t>☐</w:t>
            </w:r>
          </w:p>
        </w:tc>
        <w:tc>
          <w:tcPr>
            <w:tcW w:type="dxa" w:w="9504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2"/>
              </w:rPr>
              <w:t>Owner consent</w:t>
            </w:r>
          </w:p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I obtained appropriate owner consent for the OG procedure(s) described in this case AND for de-identified case documentation. Consent documentation is retained in the patient chart.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8E7322"/>
                <w:sz w:val="36"/>
              </w:rPr>
              <w:t>☐</w:t>
            </w:r>
          </w:p>
        </w:tc>
        <w:tc>
          <w:tcPr>
            <w:tcW w:type="dxa" w:w="9504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2"/>
              </w:rPr>
              <w:t>Anonymization</w:t>
            </w:r>
          </w:p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I have anonymized this submission per the standards above. No patient name, owner name, identifying coat-color combination, day-precision date, or location below the regional level appears anywhere in this submission or in any uploaded file.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8E7322"/>
                <w:sz w:val="36"/>
              </w:rPr>
              <w:t>☐</w:t>
            </w:r>
          </w:p>
        </w:tc>
        <w:tc>
          <w:tcPr>
            <w:tcW w:type="dxa" w:w="9504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2"/>
              </w:rPr>
              <w:t>Protocol fidelity</w:t>
            </w:r>
          </w:p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The protocol described matches what was actually performed in the patient. Any deviations from Module 8/9/10 teaching are documented with reason.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8E7322"/>
                <w:sz w:val="36"/>
              </w:rPr>
              <w:t>☐</w:t>
            </w:r>
          </w:p>
        </w:tc>
        <w:tc>
          <w:tcPr>
            <w:tcW w:type="dxa" w:w="9504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2"/>
              </w:rPr>
              <w:t>Chart retention</w:t>
            </w:r>
          </w:p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Full clinical chart documentation for this case is retained in my practice records and will be made available to the OGPro Advisors team if requested for review purposes.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8E7322"/>
                <w:sz w:val="36"/>
              </w:rPr>
              <w:t>☐</w:t>
            </w:r>
          </w:p>
        </w:tc>
        <w:tc>
          <w:tcPr>
            <w:tcW w:type="dxa" w:w="9504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2"/>
              </w:rPr>
              <w:t>Truthful outcome</w:t>
            </w:r>
          </w:p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The outcome reported in Section 5 is what I observed, not what I had hoped. Adverse events, plateaus, partial responses, and disappointing outcomes are NOT edited out. No retrospective edits to the session-by-session log.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76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80" w:type="dxa"/>
              <w:bottom w:w="120" w:type="dxa"/>
              <w:end w:w="8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8E7322"/>
                <w:sz w:val="36"/>
              </w:rPr>
              <w:t>☐</w:t>
            </w:r>
          </w:p>
        </w:tc>
        <w:tc>
          <w:tcPr>
            <w:tcW w:type="dxa" w:w="9504"/>
            <w:tcBorders>
              <w:top w:val="single" w:sz="4" w:color="C9BFA8"/>
              <w:start w:val="single" w:sz="4" w:color="C9BFA8"/>
              <w:bottom w:val="single" w:sz="4" w:color="C9BFA8"/>
              <w:end w:val="single" w:sz="4" w:color="C9BFA8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2243F"/>
                <w:sz w:val="22"/>
              </w:rPr>
              <w:t>Authentic files</w:t>
            </w:r>
          </w:p>
          <w:p>
            <w:pPr>
              <w:spacing w:before="40" w:after="40"/>
            </w:pPr>
            <w:r>
              <w:rPr>
                <w:rFonts w:ascii="Calibri" w:hAnsi="Calibri"/>
                <w:b w:val="0"/>
                <w:i w:val="0"/>
                <w:color w:val="2C2C2C"/>
                <w:sz w:val="20"/>
              </w:rPr>
              <w:t>Photo, video, radiograph, and lab files uploaded with this submission are unaltered (other than anonymization — cropping, blurring of identifiers, removal of metadata) and are from the patient described in this case.</w:t>
            </w:r>
          </w:p>
        </w:tc>
      </w:tr>
    </w:tbl>
    <w:p>
      <w:pPr>
        <w:spacing w:before="280" w:after="0"/>
      </w:pPr>
    </w:p>
    <w:p>
      <w:pPr>
        <w:spacing w:before="0" w:after="80"/>
      </w:pPr>
      <w:r>
        <w:rPr>
          <w:rFonts w:ascii="Calibri" w:hAnsi="Calibri"/>
          <w:b/>
          <w:i w:val="0"/>
          <w:color w:val="8E7322"/>
          <w:sz w:val="22"/>
        </w:rPr>
        <w:t>FILE UPLOADS  ·  ATTACH IN TYPEFORM AT TIME OF SUBMISSION</w:t>
      </w:r>
    </w:p>
    <w:p>
      <w:pPr>
        <w:spacing w:before="0" w:after="80"/>
      </w:pPr>
      <w:r>
        <w:rPr>
          <w:rFonts w:ascii="Calibri" w:hAnsi="Calibri"/>
          <w:b w:val="0"/>
          <w:i/>
          <w:color w:val="7A7468"/>
          <w:sz w:val="20"/>
        </w:rPr>
        <w:t>Up to 10 MB per file, multiple files OK. Formats: jpg / png / pdf / doc / docx. List each file you intend to upload:</w:t>
      </w:r>
    </w:p>
    <w:p>
      <w:pPr>
        <w:spacing w:before="40" w:after="40"/>
        <w:ind w:left="360"/>
      </w:pPr>
      <w:r>
        <w:rPr>
          <w:rFonts w:ascii="Calibri" w:hAnsi="Calibri"/>
          <w:b w:val="0"/>
          <w:i w:val="0"/>
          <w:color w:val="2C2C2C"/>
          <w:sz w:val="20"/>
        </w:rPr>
        <w:t>[ ]  Anonymized intake photo(s) / video(s)</w:t>
      </w:r>
    </w:p>
    <w:p>
      <w:pPr>
        <w:spacing w:before="40" w:after="40"/>
        <w:ind w:left="360"/>
      </w:pPr>
      <w:r>
        <w:rPr>
          <w:rFonts w:ascii="Calibri" w:hAnsi="Calibri"/>
          <w:b w:val="0"/>
          <w:i w:val="0"/>
          <w:color w:val="2C2C2C"/>
          <w:sz w:val="20"/>
        </w:rPr>
        <w:t>[ ]  Anonymized endpoint photo(s) / video(s)</w:t>
      </w:r>
    </w:p>
    <w:p>
      <w:pPr>
        <w:spacing w:before="40" w:after="40"/>
        <w:ind w:left="360"/>
      </w:pPr>
      <w:r>
        <w:rPr>
          <w:rFonts w:ascii="Calibri" w:hAnsi="Calibri"/>
          <w:b w:val="0"/>
          <w:i w:val="0"/>
          <w:color w:val="2C2C2C"/>
          <w:sz w:val="20"/>
        </w:rPr>
        <w:t>[ ]  Anonymized radiograph(s) / imaging (if applicable)</w:t>
      </w:r>
    </w:p>
    <w:p>
      <w:pPr>
        <w:spacing w:before="40" w:after="40"/>
        <w:ind w:left="360"/>
      </w:pPr>
      <w:r>
        <w:rPr>
          <w:rFonts w:ascii="Calibri" w:hAnsi="Calibri"/>
          <w:b w:val="0"/>
          <w:i w:val="0"/>
          <w:color w:val="2C2C2C"/>
          <w:sz w:val="20"/>
        </w:rPr>
        <w:t>[ ]  Anonymized cytology / histopathology / lab summary (if applicable)</w:t>
      </w:r>
    </w:p>
    <w:p>
      <w:pPr>
        <w:spacing w:before="40" w:after="40"/>
        <w:ind w:left="360"/>
      </w:pPr>
      <w:r>
        <w:rPr>
          <w:rFonts w:ascii="Calibri" w:hAnsi="Calibri"/>
          <w:b w:val="0"/>
          <w:i w:val="0"/>
          <w:color w:val="2C2C2C"/>
          <w:sz w:val="20"/>
        </w:rPr>
        <w:t>[ ]  Anonymized session-by-session log export from chart (if available)</w:t>
      </w:r>
    </w:p>
    <w:p>
      <w:pPr>
        <w:spacing w:before="40" w:after="40"/>
        <w:ind w:left="360"/>
      </w:pPr>
      <w:r>
        <w:rPr>
          <w:rFonts w:ascii="Calibri" w:hAnsi="Calibri"/>
          <w:b w:val="0"/>
          <w:i w:val="0"/>
          <w:color w:val="2C2C2C"/>
          <w:sz w:val="20"/>
        </w:rPr>
        <w:t>[ ]  Other: _______________________________________________________________</w:t>
      </w:r>
    </w:p>
    <w:p>
      <w:pPr>
        <w:spacing w:before="360" w:after="0"/>
      </w:pPr>
    </w:p>
    <w:p>
      <w:pPr>
        <w:spacing w:before="0" w:after="80"/>
      </w:pPr>
      <w:r>
        <w:rPr>
          <w:rFonts w:ascii="Calibri" w:hAnsi="Calibri"/>
          <w:b/>
          <w:i w:val="0"/>
          <w:color w:val="8E7322"/>
          <w:sz w:val="22"/>
        </w:rPr>
        <w:t>PRACTITIONER SIGNATURE</w:t>
      </w:r>
    </w:p>
    <w:p>
      <w:pPr>
        <w:spacing w:before="0" w:after="160"/>
      </w:pPr>
      <w:r>
        <w:rPr>
          <w:rFonts w:ascii="Calibri" w:hAnsi="Calibri"/>
          <w:b w:val="0"/>
          <w:i/>
          <w:color w:val="2C2C2C"/>
          <w:sz w:val="20"/>
        </w:rPr>
        <w:t>By transcribing this case into the Module 13 Typeform, I attest that the information above is accurate to the best of my knowledge and that I have ticked all six attestations in Section 7.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tcBorders>
              <w:top w:val="nil"/>
              <w:start w:val="nil"/>
              <w:bottom w:val="nil"/>
              <w:end w:val="nil"/>
            </w:tcBorders>
            <w:tcMar>
              <w:top w:w="20" w:type="dxa"/>
              <w:start w:w="80" w:type="dxa"/>
              <w:bottom w:w="20" w:type="dxa"/>
              <w:end w:w="8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2243F"/>
                <w:sz w:val="24"/>
              </w:rPr>
              <w:t>________________________________</w:t>
            </w:r>
          </w:p>
        </w:tc>
        <w:tc>
          <w:tcPr>
            <w:tcW w:type="dxa" w:w="5040"/>
            <w:tcBorders>
              <w:top w:val="nil"/>
              <w:start w:val="nil"/>
              <w:bottom w:val="nil"/>
              <w:end w:val="nil"/>
            </w:tcBorders>
            <w:tcMar>
              <w:top w:w="20" w:type="dxa"/>
              <w:start w:w="80" w:type="dxa"/>
              <w:bottom w:w="20" w:type="dxa"/>
              <w:end w:w="8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2243F"/>
                <w:sz w:val="24"/>
              </w:rPr>
              <w:t>________________________________</w:t>
            </w:r>
          </w:p>
        </w:tc>
      </w:tr>
      <w:tr>
        <w:tc>
          <w:tcPr>
            <w:tcW w:type="dxa" w:w="5040"/>
            <w:tcBorders>
              <w:top w:val="nil"/>
              <w:start w:val="nil"/>
              <w:bottom w:val="nil"/>
              <w:end w:val="nil"/>
            </w:tcBorders>
            <w:tcMar>
              <w:top w:w="20" w:type="dxa"/>
              <w:start w:w="80" w:type="dxa"/>
              <w:bottom w:w="20" w:type="dxa"/>
              <w:end w:w="80" w:type="dxa"/>
            </w:tcMar>
          </w:tcPr>
          <w:p>
            <w:r>
              <w:rPr>
                <w:rFonts w:ascii="Calibri" w:hAnsi="Calibri"/>
                <w:b w:val="0"/>
                <w:i/>
                <w:color w:val="8E7322"/>
                <w:sz w:val="20"/>
              </w:rPr>
              <w:t>Practitioner signature</w:t>
            </w:r>
          </w:p>
        </w:tc>
        <w:tc>
          <w:tcPr>
            <w:tcW w:type="dxa" w:w="5040"/>
            <w:tcBorders>
              <w:top w:val="nil"/>
              <w:start w:val="nil"/>
              <w:bottom w:val="nil"/>
              <w:end w:val="nil"/>
            </w:tcBorders>
            <w:tcMar>
              <w:top w:w="20" w:type="dxa"/>
              <w:start w:w="80" w:type="dxa"/>
              <w:bottom w:w="20" w:type="dxa"/>
              <w:end w:w="80" w:type="dxa"/>
            </w:tcMar>
          </w:tcPr>
          <w:p>
            <w:r>
              <w:rPr>
                <w:rFonts w:ascii="Calibri" w:hAnsi="Calibri"/>
                <w:b w:val="0"/>
                <w:i/>
                <w:color w:val="8E7322"/>
                <w:sz w:val="20"/>
              </w:rPr>
              <w:t>Date submitted (mo/yr)</w:t>
            </w:r>
          </w:p>
        </w:tc>
      </w:tr>
    </w:tbl>
    <w:p>
      <w:pPr>
        <w:spacing w:before="400" w:after="0"/>
      </w:pPr>
    </w:p>
    <w:p>
      <w:pPr>
        <w:spacing w:before="160" w:after="40"/>
        <w:jc w:val="center"/>
      </w:pPr>
      <w:r>
        <w:rPr>
          <w:rFonts w:ascii="Calibri" w:hAnsi="Calibri"/>
          <w:b w:val="0"/>
          <w:i/>
          <w:color w:val="7A7468"/>
          <w:sz w:val="20"/>
        </w:rPr>
        <w:t>End of Case Study Submission Template  ·  v1.1  ·  April 2026</w:t>
      </w:r>
    </w:p>
    <w:p>
      <w:pPr>
        <w:spacing w:before="40" w:after="40"/>
        <w:jc w:val="center"/>
      </w:pPr>
      <w:r>
        <w:rPr>
          <w:rFonts w:ascii="Calibri" w:hAnsi="Calibri"/>
          <w:b w:val="0"/>
          <w:i/>
          <w:color w:val="7A7468"/>
          <w:sz w:val="18"/>
        </w:rPr>
        <w:t>Reviewed against the published 7-dimension rubric  ·  100 points total  ·  Approved 70+  ·  Needs Revision 50–69  ·  Failed below 50</w:t>
      </w:r>
    </w:p>
    <w:p>
      <w:pPr>
        <w:spacing w:before="40" w:after="0"/>
        <w:jc w:val="center"/>
      </w:pPr>
      <w:r>
        <w:rPr>
          <w:rFonts w:ascii="Calibri" w:hAnsi="Calibri"/>
          <w:b w:val="0"/>
          <w:i/>
          <w:color w:val="7A7468"/>
          <w:sz w:val="18"/>
        </w:rPr>
        <w:t>OGPro Collaborative  ·  Course 1  ·  Module 13  ·  © 2026 OGPro Collaborative  ·  All Rights Reserved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