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xmlns:wp14="http://schemas.microsoft.com/office/word/2010/wordml" w14:paraId="69073783" wp14:textId="77777777">
      <w:pPr>
        <w:pStyle w:val="Title"/>
        <w:spacing w:after="0"/>
        <w:jc w:val="center"/>
      </w:pPr>
      <w:r w:rsidR="1116A704">
        <w:rPr/>
        <w:t>Clinical Day Checklist</w:t>
      </w:r>
    </w:p>
    <w:p w:rsidR="1116A704" w:rsidP="1116A704" w:rsidRDefault="1116A704" w14:paraId="5398299E" w14:textId="7BBAC60F">
      <w:pPr>
        <w:pStyle w:val="Normal"/>
      </w:pPr>
    </w:p>
    <w:p w:rsidR="1116A704" w:rsidP="1116A704" w:rsidRDefault="1116A704" w14:paraId="6F7635A9" w14:textId="47FBB05D">
      <w:pPr>
        <w:spacing w:after="80"/>
        <w:jc w:val="center"/>
      </w:pPr>
      <w:r w:rsidRPr="1116A704" w:rsidR="1116A704">
        <w:rPr>
          <w:rFonts w:ascii="Arial" w:hAnsi="Arial" w:eastAsia="Arial"/>
          <w:i w:val="1"/>
          <w:iCs w:val="1"/>
          <w:sz w:val="18"/>
          <w:szCs w:val="18"/>
        </w:rPr>
        <w:t>PMHNP Clinical Quick Reference</w:t>
      </w:r>
    </w:p>
    <w:tbl>
      <w:tblPr>
        <w:tblW w:w="0" w:type="auto"/>
        <w:tblLook w:val="04A0" w:firstRow="1" w:lastRow="0" w:firstColumn="1" w:lastColumn="0" w:noHBand="0" w:noVBand="1"/>
      </w:tblPr>
      <w:tblGrid>
        <w:gridCol w:w="10944"/>
      </w:tblGrid>
      <w:tr xmlns:wp14="http://schemas.microsoft.com/office/word/2010/wordml" w14:paraId="6A0F124C" wp14:textId="77777777">
        <w:tc>
          <w:tcPr>
            <w:tcW w:w="10944" w:type="dxa"/>
            <w:shd w:fill="EAF3F4"/>
            <w:tcMar>
              <w:top w:w="55" w:type="dxa"/>
              <w:start w:w="70" w:type="dxa"/>
              <w:bottom w:w="55" w:type="dxa"/>
              <w:end w:w="70" w:type="dxa"/>
            </w:tcMar>
            <w:tcBorders>
              <w:top w:val="single" w:color="8FB7BC" w:sz="6"/>
              <w:left w:val="single" w:color="8FB7BC" w:sz="6"/>
              <w:bottom w:val="single" w:color="8FB7BC" w:sz="6"/>
              <w:right w:val="single" w:color="8FB7BC" w:sz="6"/>
            </w:tcBorders>
          </w:tcPr>
          <w:p w14:paraId="6C4E1B81" wp14:textId="77777777">
            <w:pPr>
              <w:spacing w:after="0"/>
            </w:pPr>
            <w:r>
              <w:rPr>
                <w:rFonts w:ascii="Arial" w:hAnsi="Arial" w:eastAsia="Arial"/>
                <w:sz w:val="16"/>
              </w:rPr>
              <w:t>Use this checklist to prepare for clinical, stay organized during the day, and close the loop after clinic. The goal is to arrive prepared, participate professionally, recognize safety concerns, and keep improving each clinical day.</w:t>
            </w:r>
          </w:p>
        </w:tc>
      </w:tr>
    </w:tbl>
    <w:p xmlns:wp14="http://schemas.microsoft.com/office/word/2010/wordml" w:rsidP="1116A704" w14:paraId="672A6659" wp14:textId="77777777">
      <w:pPr>
        <w:spacing w:after="20"/>
        <w:rPr>
          <w:sz w:val="22"/>
          <w:szCs w:val="22"/>
        </w:rPr>
      </w:pPr>
    </w:p>
    <w:tbl>
      <w:tblPr>
        <w:tblW w:w="0" w:type="auto"/>
        <w:tblLayout w:type="fixed"/>
        <w:tblLook w:val="04A0" w:firstRow="1" w:lastRow="0" w:firstColumn="1" w:lastColumn="0" w:noHBand="0" w:noVBand="1"/>
      </w:tblPr>
      <w:tblGrid>
        <w:gridCol w:w="5544"/>
        <w:gridCol w:w="5544"/>
      </w:tblGrid>
      <w:tr xmlns:wp14="http://schemas.microsoft.com/office/word/2010/wordml" w:rsidTr="1116A704" w14:paraId="322F10B9" wp14:textId="77777777">
        <w:tc>
          <w:tcPr>
            <w:tcW w:w="5472" w:type="dxa"/>
            <w:tcMar>
              <w:top w:w="50" w:type="dxa"/>
              <w:start w:w="70" w:type="dxa"/>
              <w:bottom w:w="50" w:type="dxa"/>
              <w:end w:w="70" w:type="dxa"/>
            </w:tcMar>
            <w:tcBorders>
              <w:top w:val="single" w:color="D9E7E8" w:sz="4"/>
              <w:left w:val="single" w:color="D9E7E8" w:sz="4"/>
              <w:bottom w:val="single" w:color="D9E7E8" w:sz="4"/>
              <w:right w:val="single" w:color="D9E7E8" w:sz="4"/>
            </w:tcBorders>
          </w:tcPr>
          <w:p w:rsidP="1116A704" w14:paraId="6C97CB34" wp14:textId="77777777">
            <w:pPr>
              <w:pStyle w:val="Heading1"/>
              <w:keepNext w:val="1"/>
              <w:rPr>
                <w:sz w:val="32"/>
                <w:szCs w:val="32"/>
              </w:rPr>
            </w:pPr>
            <w:r w:rsidRPr="1116A704" w:rsidR="1116A704">
              <w:rPr>
                <w:sz w:val="28"/>
                <w:szCs w:val="28"/>
              </w:rPr>
              <w:t>Before Clinic</w:t>
            </w:r>
          </w:p>
          <w:p w:rsidP="1116A704" w14:paraId="49261032" wp14:textId="77777777">
            <w:pPr>
              <w:pStyle w:val="TinyCheck"/>
              <w:rPr>
                <w:rFonts w:ascii="Arial" w:hAnsi="Arial" w:eastAsia="Arial"/>
                <w:sz w:val="22"/>
                <w:szCs w:val="22"/>
              </w:rPr>
            </w:pPr>
            <w:r w:rsidRPr="1116A704" w:rsidR="1116A704">
              <w:rPr>
                <w:rFonts w:ascii="Arial" w:hAnsi="Arial" w:eastAsia="Arial"/>
                <w:sz w:val="20"/>
                <w:szCs w:val="20"/>
              </w:rPr>
              <w:t xml:space="preserve">☐ </w:t>
            </w:r>
            <w:r w:rsidRPr="1116A704" w:rsidR="1116A704">
              <w:rPr>
                <w:rFonts w:ascii="Arial" w:hAnsi="Arial" w:eastAsia="Arial"/>
                <w:sz w:val="20"/>
                <w:szCs w:val="20"/>
              </w:rPr>
              <w:t>Confirm schedule, location, start time, parking, entry, and logins.</w:t>
            </w:r>
          </w:p>
          <w:p w:rsidP="1116A704" w14:paraId="41E2A8B4" wp14:textId="77777777">
            <w:pPr>
              <w:pStyle w:val="TinyCheck"/>
              <w:rPr>
                <w:rFonts w:ascii="Arial" w:hAnsi="Arial" w:eastAsia="Arial"/>
                <w:sz w:val="22"/>
                <w:szCs w:val="22"/>
              </w:rPr>
            </w:pPr>
            <w:r w:rsidRPr="1116A704" w:rsidR="1116A704">
              <w:rPr>
                <w:rFonts w:ascii="Arial" w:hAnsi="Arial" w:eastAsia="Arial"/>
                <w:sz w:val="20"/>
                <w:szCs w:val="20"/>
              </w:rPr>
              <w:t xml:space="preserve">☐ </w:t>
            </w:r>
            <w:r w:rsidRPr="1116A704" w:rsidR="1116A704">
              <w:rPr>
                <w:rFonts w:ascii="Arial" w:hAnsi="Arial" w:eastAsia="Arial"/>
                <w:sz w:val="20"/>
                <w:szCs w:val="20"/>
              </w:rPr>
              <w:t>Review dress code, badge, and site communication expectations.</w:t>
            </w:r>
          </w:p>
          <w:p w:rsidP="1116A704" w14:paraId="1B5E69A9" wp14:textId="77777777">
            <w:pPr>
              <w:pStyle w:val="TinyCheck"/>
              <w:rPr>
                <w:rFonts w:ascii="Arial" w:hAnsi="Arial" w:eastAsia="Arial"/>
                <w:sz w:val="22"/>
                <w:szCs w:val="22"/>
              </w:rPr>
            </w:pPr>
            <w:r w:rsidRPr="1116A704" w:rsidR="1116A704">
              <w:rPr>
                <w:rFonts w:ascii="Arial" w:hAnsi="Arial" w:eastAsia="Arial"/>
                <w:sz w:val="20"/>
                <w:szCs w:val="20"/>
              </w:rPr>
              <w:t xml:space="preserve">☐ </w:t>
            </w:r>
            <w:r w:rsidRPr="1116A704" w:rsidR="1116A704">
              <w:rPr>
                <w:rFonts w:ascii="Arial" w:hAnsi="Arial" w:eastAsia="Arial"/>
                <w:sz w:val="20"/>
                <w:szCs w:val="20"/>
              </w:rPr>
              <w:t>Review note template and any assigned patients, if available.</w:t>
            </w:r>
          </w:p>
          <w:p w:rsidP="1116A704" w14:paraId="30B3D9D2" wp14:textId="77777777">
            <w:pPr>
              <w:pStyle w:val="TinyCheck"/>
              <w:rPr>
                <w:rFonts w:ascii="Arial" w:hAnsi="Arial" w:eastAsia="Arial"/>
                <w:sz w:val="22"/>
                <w:szCs w:val="22"/>
              </w:rPr>
            </w:pPr>
            <w:r w:rsidRPr="1116A704" w:rsidR="1116A704">
              <w:rPr>
                <w:rFonts w:ascii="Arial" w:hAnsi="Arial" w:eastAsia="Arial"/>
                <w:sz w:val="20"/>
                <w:szCs w:val="20"/>
              </w:rPr>
              <w:t xml:space="preserve">☐ </w:t>
            </w:r>
            <w:r w:rsidRPr="1116A704" w:rsidR="1116A704">
              <w:rPr>
                <w:rFonts w:ascii="Arial" w:hAnsi="Arial" w:eastAsia="Arial"/>
                <w:sz w:val="20"/>
                <w:szCs w:val="20"/>
              </w:rPr>
              <w:t>Skim common diagnoses/medications for the setting.</w:t>
            </w:r>
          </w:p>
          <w:p w:rsidP="1116A704" w14:paraId="46F4BCD9" wp14:textId="77777777">
            <w:pPr>
              <w:pStyle w:val="TinyCheck"/>
              <w:rPr>
                <w:rFonts w:ascii="Arial" w:hAnsi="Arial" w:eastAsia="Arial"/>
                <w:sz w:val="22"/>
                <w:szCs w:val="22"/>
              </w:rPr>
            </w:pPr>
            <w:r w:rsidRPr="1116A704" w:rsidR="1116A704">
              <w:rPr>
                <w:rFonts w:ascii="Arial" w:hAnsi="Arial" w:eastAsia="Arial"/>
                <w:sz w:val="20"/>
                <w:szCs w:val="20"/>
              </w:rPr>
              <w:t xml:space="preserve">☐ </w:t>
            </w:r>
            <w:r w:rsidRPr="1116A704" w:rsidR="1116A704">
              <w:rPr>
                <w:rFonts w:ascii="Arial" w:hAnsi="Arial" w:eastAsia="Arial"/>
                <w:sz w:val="20"/>
                <w:szCs w:val="20"/>
              </w:rPr>
              <w:t>Know safety workflow: SI/HI, psychosis, mania, intoxication/withdrawal, abuse/neglect, medical instability.</w:t>
            </w:r>
          </w:p>
          <w:p w:rsidP="1116A704" w14:paraId="6AAE30DC" wp14:textId="77777777">
            <w:pPr>
              <w:pStyle w:val="TinyCheck"/>
              <w:rPr>
                <w:rFonts w:ascii="Arial" w:hAnsi="Arial" w:eastAsia="Arial"/>
                <w:sz w:val="22"/>
                <w:szCs w:val="22"/>
              </w:rPr>
            </w:pPr>
            <w:r w:rsidRPr="1116A704" w:rsidR="1116A704">
              <w:rPr>
                <w:rFonts w:ascii="Arial" w:hAnsi="Arial" w:eastAsia="Arial"/>
                <w:sz w:val="20"/>
                <w:szCs w:val="20"/>
              </w:rPr>
              <w:t xml:space="preserve">☐ </w:t>
            </w:r>
            <w:r w:rsidRPr="1116A704" w:rsidR="1116A704">
              <w:rPr>
                <w:rFonts w:ascii="Arial" w:hAnsi="Arial" w:eastAsia="Arial"/>
                <w:sz w:val="20"/>
                <w:szCs w:val="20"/>
              </w:rPr>
              <w:t>Bring badge, secure note method, pen, approved references, and 2-3 preceptor questions.</w:t>
            </w:r>
          </w:p>
          <w:p w:rsidP="1116A704" w14:paraId="6B7270EE" wp14:textId="77777777">
            <w:pPr>
              <w:pStyle w:val="Heading1"/>
              <w:keepNext w:val="1"/>
              <w:rPr>
                <w:sz w:val="32"/>
                <w:szCs w:val="32"/>
              </w:rPr>
            </w:pPr>
            <w:r w:rsidRPr="1116A704" w:rsidR="1116A704">
              <w:rPr>
                <w:sz w:val="28"/>
                <w:szCs w:val="28"/>
              </w:rPr>
              <w:t>During Clinic</w:t>
            </w:r>
          </w:p>
          <w:p w:rsidP="1116A704" w14:paraId="0CF5229A" wp14:textId="77777777">
            <w:pPr>
              <w:pStyle w:val="TinyCheck"/>
              <w:rPr>
                <w:rFonts w:ascii="Arial" w:hAnsi="Arial" w:eastAsia="Arial"/>
                <w:sz w:val="22"/>
                <w:szCs w:val="22"/>
              </w:rPr>
            </w:pPr>
            <w:r w:rsidRPr="1116A704" w:rsidR="1116A704">
              <w:rPr>
                <w:rFonts w:ascii="Arial" w:hAnsi="Arial" w:eastAsia="Arial"/>
                <w:sz w:val="20"/>
                <w:szCs w:val="20"/>
              </w:rPr>
              <w:t xml:space="preserve">☐ </w:t>
            </w:r>
            <w:r w:rsidRPr="1116A704" w:rsidR="1116A704">
              <w:rPr>
                <w:rFonts w:ascii="Arial" w:hAnsi="Arial" w:eastAsia="Arial"/>
                <w:sz w:val="20"/>
                <w:szCs w:val="20"/>
              </w:rPr>
              <w:t>Introduce yourself clearly and stay within your assigned role.</w:t>
            </w:r>
          </w:p>
          <w:p w:rsidP="1116A704" w14:paraId="35A0AB1B" wp14:textId="77777777">
            <w:pPr>
              <w:pStyle w:val="TinyCheck"/>
              <w:rPr>
                <w:rFonts w:ascii="Arial" w:hAnsi="Arial" w:eastAsia="Arial"/>
                <w:sz w:val="22"/>
                <w:szCs w:val="22"/>
              </w:rPr>
            </w:pPr>
            <w:r w:rsidRPr="1116A704" w:rsidR="1116A704">
              <w:rPr>
                <w:rFonts w:ascii="Arial" w:hAnsi="Arial" w:eastAsia="Arial"/>
                <w:sz w:val="20"/>
                <w:szCs w:val="20"/>
              </w:rPr>
              <w:t xml:space="preserve">☐ </w:t>
            </w:r>
            <w:r w:rsidRPr="1116A704" w:rsidR="1116A704">
              <w:rPr>
                <w:rFonts w:ascii="Arial" w:hAnsi="Arial" w:eastAsia="Arial"/>
                <w:sz w:val="20"/>
                <w:szCs w:val="20"/>
              </w:rPr>
              <w:t>Ask permission before leading sensitive interview content.</w:t>
            </w:r>
          </w:p>
          <w:p w:rsidP="1116A704" w14:paraId="7AEC9A0D" wp14:textId="77777777">
            <w:pPr>
              <w:pStyle w:val="TinyCheck"/>
              <w:rPr>
                <w:rFonts w:ascii="Arial" w:hAnsi="Arial" w:eastAsia="Arial"/>
                <w:sz w:val="22"/>
                <w:szCs w:val="22"/>
              </w:rPr>
            </w:pPr>
            <w:r w:rsidRPr="1116A704" w:rsidR="1116A704">
              <w:rPr>
                <w:rFonts w:ascii="Arial" w:hAnsi="Arial" w:eastAsia="Arial"/>
                <w:sz w:val="20"/>
                <w:szCs w:val="20"/>
              </w:rPr>
              <w:t xml:space="preserve">☐ </w:t>
            </w:r>
            <w:r w:rsidRPr="1116A704" w:rsidR="1116A704">
              <w:rPr>
                <w:rFonts w:ascii="Arial" w:hAnsi="Arial" w:eastAsia="Arial"/>
                <w:sz w:val="20"/>
                <w:szCs w:val="20"/>
              </w:rPr>
              <w:t>Observe preceptor flow, patient education, and documentation language.</w:t>
            </w:r>
          </w:p>
          <w:p w:rsidP="1116A704" w14:paraId="40852959" wp14:textId="77777777">
            <w:pPr>
              <w:pStyle w:val="TinyCheck"/>
              <w:rPr>
                <w:rFonts w:ascii="Arial" w:hAnsi="Arial" w:eastAsia="Arial"/>
                <w:sz w:val="22"/>
                <w:szCs w:val="22"/>
              </w:rPr>
            </w:pPr>
            <w:r w:rsidRPr="1116A704" w:rsidR="1116A704">
              <w:rPr>
                <w:rFonts w:ascii="Arial" w:hAnsi="Arial" w:eastAsia="Arial"/>
                <w:sz w:val="20"/>
                <w:szCs w:val="20"/>
              </w:rPr>
              <w:t xml:space="preserve">☐ </w:t>
            </w:r>
            <w:r w:rsidRPr="1116A704" w:rsidR="1116A704">
              <w:rPr>
                <w:rFonts w:ascii="Arial" w:hAnsi="Arial" w:eastAsia="Arial"/>
                <w:sz w:val="20"/>
                <w:szCs w:val="20"/>
              </w:rPr>
              <w:t>Assess mood, anxiety, sleep, appetite, substances, trauma, function, and safety.</w:t>
            </w:r>
          </w:p>
          <w:p w:rsidP="1116A704" w14:paraId="479EBEE2" wp14:textId="77777777">
            <w:pPr>
              <w:pStyle w:val="TinyCheck"/>
              <w:rPr>
                <w:rFonts w:ascii="Arial" w:hAnsi="Arial" w:eastAsia="Arial"/>
                <w:sz w:val="22"/>
                <w:szCs w:val="22"/>
              </w:rPr>
            </w:pPr>
            <w:r w:rsidRPr="1116A704" w:rsidR="1116A704">
              <w:rPr>
                <w:rFonts w:ascii="Arial" w:hAnsi="Arial" w:eastAsia="Arial"/>
                <w:sz w:val="20"/>
                <w:szCs w:val="20"/>
              </w:rPr>
              <w:t xml:space="preserve">☐ </w:t>
            </w:r>
            <w:r w:rsidRPr="1116A704" w:rsidR="1116A704">
              <w:rPr>
                <w:rFonts w:ascii="Arial" w:hAnsi="Arial" w:eastAsia="Arial"/>
                <w:sz w:val="20"/>
                <w:szCs w:val="20"/>
              </w:rPr>
              <w:t>Track MSE findings, diagnostic clues, medication rationale, side effects, and monitoring needs.</w:t>
            </w:r>
          </w:p>
          <w:p w:rsidP="1116A704" w14:paraId="26A651B6" wp14:textId="77777777">
            <w:pPr>
              <w:pStyle w:val="TinyCheck"/>
              <w:rPr>
                <w:rFonts w:ascii="Arial" w:hAnsi="Arial" w:eastAsia="Arial"/>
                <w:sz w:val="22"/>
                <w:szCs w:val="22"/>
              </w:rPr>
            </w:pPr>
            <w:r w:rsidRPr="1116A704" w:rsidR="1116A704">
              <w:rPr>
                <w:rFonts w:ascii="Arial" w:hAnsi="Arial" w:eastAsia="Arial"/>
                <w:sz w:val="20"/>
                <w:szCs w:val="20"/>
              </w:rPr>
              <w:t xml:space="preserve">☐ </w:t>
            </w:r>
            <w:r w:rsidRPr="1116A704" w:rsidR="1116A704">
              <w:rPr>
                <w:rFonts w:ascii="Arial" w:hAnsi="Arial" w:eastAsia="Arial"/>
                <w:sz w:val="20"/>
                <w:szCs w:val="20"/>
              </w:rPr>
              <w:t>Present concisely: patient, concern, key history, MSE/risk, differential, plan question.</w:t>
            </w:r>
          </w:p>
          <w:p w:rsidP="1116A704" w14:paraId="1EAD64B3" wp14:textId="77777777">
            <w:pPr>
              <w:pStyle w:val="TinyCheck"/>
              <w:rPr>
                <w:rFonts w:ascii="Arial" w:hAnsi="Arial" w:eastAsia="Arial"/>
                <w:sz w:val="22"/>
                <w:szCs w:val="22"/>
              </w:rPr>
            </w:pPr>
            <w:r w:rsidRPr="1116A704" w:rsidR="1116A704">
              <w:rPr>
                <w:rFonts w:ascii="Arial" w:hAnsi="Arial" w:eastAsia="Arial"/>
                <w:sz w:val="20"/>
                <w:szCs w:val="20"/>
              </w:rPr>
              <w:t xml:space="preserve">☐ </w:t>
            </w:r>
            <w:r w:rsidRPr="1116A704" w:rsidR="1116A704">
              <w:rPr>
                <w:rFonts w:ascii="Arial" w:hAnsi="Arial" w:eastAsia="Arial"/>
                <w:sz w:val="20"/>
                <w:szCs w:val="20"/>
              </w:rPr>
              <w:t>Escalate red flags immediately.</w:t>
            </w:r>
          </w:p>
          <w:p w:rsidP="1116A704" w14:paraId="32BC437F" wp14:textId="77777777">
            <w:pPr>
              <w:pStyle w:val="Heading1"/>
              <w:keepNext w:val="1"/>
              <w:rPr>
                <w:sz w:val="32"/>
                <w:szCs w:val="32"/>
              </w:rPr>
            </w:pPr>
            <w:r w:rsidRPr="1116A704" w:rsidR="1116A704">
              <w:rPr>
                <w:sz w:val="28"/>
                <w:szCs w:val="28"/>
              </w:rPr>
              <w:t>After Clinic</w:t>
            </w:r>
          </w:p>
          <w:p w:rsidP="1116A704" w14:paraId="00FEEDBF" wp14:textId="77777777">
            <w:pPr>
              <w:pStyle w:val="TinyCheck"/>
              <w:rPr>
                <w:rFonts w:ascii="Arial" w:hAnsi="Arial" w:eastAsia="Arial"/>
                <w:sz w:val="22"/>
                <w:szCs w:val="22"/>
              </w:rPr>
            </w:pPr>
            <w:r w:rsidRPr="1116A704" w:rsidR="1116A704">
              <w:rPr>
                <w:rFonts w:ascii="Arial" w:hAnsi="Arial" w:eastAsia="Arial"/>
                <w:sz w:val="20"/>
                <w:szCs w:val="20"/>
              </w:rPr>
              <w:t xml:space="preserve">☐ </w:t>
            </w:r>
            <w:r w:rsidRPr="1116A704" w:rsidR="1116A704">
              <w:rPr>
                <w:rFonts w:ascii="Arial" w:hAnsi="Arial" w:eastAsia="Arial"/>
                <w:sz w:val="20"/>
                <w:szCs w:val="20"/>
              </w:rPr>
              <w:t>Track clinical hours and complete required school documentation.</w:t>
            </w:r>
          </w:p>
          <w:p w:rsidP="1116A704" w14:paraId="3682EB03" wp14:textId="77777777">
            <w:pPr>
              <w:pStyle w:val="TinyCheck"/>
              <w:rPr>
                <w:rFonts w:ascii="Arial" w:hAnsi="Arial" w:eastAsia="Arial"/>
                <w:sz w:val="22"/>
                <w:szCs w:val="22"/>
              </w:rPr>
            </w:pPr>
            <w:r w:rsidRPr="1116A704" w:rsidR="1116A704">
              <w:rPr>
                <w:rFonts w:ascii="Arial" w:hAnsi="Arial" w:eastAsia="Arial"/>
                <w:sz w:val="20"/>
                <w:szCs w:val="20"/>
              </w:rPr>
              <w:t xml:space="preserve">☐ </w:t>
            </w:r>
            <w:r w:rsidRPr="1116A704" w:rsidR="1116A704">
              <w:rPr>
                <w:rFonts w:ascii="Arial" w:hAnsi="Arial" w:eastAsia="Arial"/>
                <w:sz w:val="20"/>
                <w:szCs w:val="20"/>
              </w:rPr>
              <w:t>Finish permitted note drafts or learning assignments promptly.</w:t>
            </w:r>
          </w:p>
          <w:p w:rsidP="1116A704" w14:paraId="6795D45D" wp14:textId="77777777">
            <w:pPr>
              <w:pStyle w:val="TinyCheck"/>
              <w:rPr>
                <w:rFonts w:ascii="Arial" w:hAnsi="Arial" w:eastAsia="Arial"/>
                <w:sz w:val="22"/>
                <w:szCs w:val="22"/>
              </w:rPr>
            </w:pPr>
            <w:r w:rsidRPr="1116A704" w:rsidR="1116A704">
              <w:rPr>
                <w:rFonts w:ascii="Arial" w:hAnsi="Arial" w:eastAsia="Arial"/>
                <w:sz w:val="20"/>
                <w:szCs w:val="20"/>
              </w:rPr>
              <w:t xml:space="preserve">☐ </w:t>
            </w:r>
            <w:r w:rsidRPr="1116A704" w:rsidR="1116A704">
              <w:rPr>
                <w:rFonts w:ascii="Arial" w:hAnsi="Arial" w:eastAsia="Arial"/>
                <w:sz w:val="20"/>
                <w:szCs w:val="20"/>
              </w:rPr>
              <w:t>List topics to review: diagnoses, medications, safety issues, or documentation questions.</w:t>
            </w:r>
          </w:p>
          <w:p w:rsidP="1116A704" w14:paraId="279D09E8" wp14:textId="77777777">
            <w:pPr>
              <w:pStyle w:val="TinyCheck"/>
              <w:rPr>
                <w:rFonts w:ascii="Arial" w:hAnsi="Arial" w:eastAsia="Arial"/>
                <w:sz w:val="22"/>
                <w:szCs w:val="22"/>
              </w:rPr>
            </w:pPr>
            <w:r w:rsidRPr="1116A704" w:rsidR="1116A704">
              <w:rPr>
                <w:rFonts w:ascii="Arial" w:hAnsi="Arial" w:eastAsia="Arial"/>
                <w:sz w:val="20"/>
                <w:szCs w:val="20"/>
              </w:rPr>
              <w:t xml:space="preserve">☐ </w:t>
            </w:r>
            <w:r w:rsidRPr="1116A704" w:rsidR="1116A704">
              <w:rPr>
                <w:rFonts w:ascii="Arial" w:hAnsi="Arial" w:eastAsia="Arial"/>
                <w:sz w:val="20"/>
                <w:szCs w:val="20"/>
              </w:rPr>
              <w:t>Reflect on one strength and one improvement goal.</w:t>
            </w:r>
          </w:p>
          <w:p w:rsidP="1116A704" w14:paraId="720CEB40" wp14:textId="77777777">
            <w:pPr>
              <w:pStyle w:val="TinyCheck"/>
              <w:rPr>
                <w:rFonts w:ascii="Arial" w:hAnsi="Arial" w:eastAsia="Arial"/>
                <w:sz w:val="22"/>
                <w:szCs w:val="22"/>
              </w:rPr>
            </w:pPr>
            <w:r w:rsidRPr="1116A704" w:rsidR="1116A704">
              <w:rPr>
                <w:rFonts w:ascii="Arial" w:hAnsi="Arial" w:eastAsia="Arial"/>
                <w:sz w:val="20"/>
                <w:szCs w:val="20"/>
              </w:rPr>
              <w:t xml:space="preserve">☐ </w:t>
            </w:r>
            <w:r w:rsidRPr="1116A704" w:rsidR="1116A704">
              <w:rPr>
                <w:rFonts w:ascii="Arial" w:hAnsi="Arial" w:eastAsia="Arial"/>
                <w:sz w:val="20"/>
                <w:szCs w:val="20"/>
              </w:rPr>
              <w:t>Review one high-yield topic from the day.</w:t>
            </w:r>
          </w:p>
          <w:p w:rsidP="1116A704" w14:paraId="2327F793" wp14:textId="77777777">
            <w:pPr>
              <w:pStyle w:val="TinyCheck"/>
              <w:rPr>
                <w:rFonts w:ascii="Arial" w:hAnsi="Arial" w:eastAsia="Arial"/>
                <w:sz w:val="22"/>
                <w:szCs w:val="22"/>
              </w:rPr>
            </w:pPr>
            <w:r w:rsidRPr="1116A704" w:rsidR="1116A704">
              <w:rPr>
                <w:rFonts w:ascii="Arial" w:hAnsi="Arial" w:eastAsia="Arial"/>
                <w:sz w:val="20"/>
                <w:szCs w:val="20"/>
              </w:rPr>
              <w:t xml:space="preserve">☐ </w:t>
            </w:r>
            <w:r w:rsidRPr="1116A704" w:rsidR="1116A704">
              <w:rPr>
                <w:rFonts w:ascii="Arial" w:hAnsi="Arial" w:eastAsia="Arial"/>
                <w:sz w:val="20"/>
                <w:szCs w:val="20"/>
              </w:rPr>
              <w:t>Record preceptor feedback and how you will apply it next time.</w:t>
            </w:r>
          </w:p>
        </w:tc>
        <w:tc>
          <w:tcPr>
            <w:tcW w:w="5472" w:type="dxa"/>
            <w:tcMar>
              <w:top w:w="50" w:type="dxa"/>
              <w:start w:w="70" w:type="dxa"/>
              <w:bottom w:w="50" w:type="dxa"/>
              <w:end w:w="70" w:type="dxa"/>
            </w:tcMar>
            <w:tcBorders>
              <w:top w:val="single" w:color="D9E7E8" w:sz="4"/>
              <w:left w:val="single" w:color="D9E7E8" w:sz="4"/>
              <w:bottom w:val="single" w:color="D9E7E8" w:sz="4"/>
              <w:right w:val="single" w:color="D9E7E8" w:sz="4"/>
            </w:tcBorders>
          </w:tcPr>
          <w:p w:rsidP="1116A704" w14:paraId="5F6D1B05" wp14:textId="77777777">
            <w:pPr>
              <w:pStyle w:val="Heading1"/>
              <w:keepNext w:val="1"/>
              <w:rPr>
                <w:sz w:val="32"/>
                <w:szCs w:val="32"/>
              </w:rPr>
            </w:pPr>
            <w:r w:rsidRPr="1116A704" w:rsidR="1116A704">
              <w:rPr>
                <w:sz w:val="28"/>
                <w:szCs w:val="28"/>
              </w:rPr>
              <w:t>Questions to Ask Your Preceptor</w:t>
            </w:r>
          </w:p>
          <w:p w:rsidP="1116A704" w14:paraId="4D771EA4" wp14:textId="77777777">
            <w:pPr>
              <w:pStyle w:val="ListBullet"/>
              <w:rPr>
                <w:sz w:val="24"/>
                <w:szCs w:val="24"/>
              </w:rPr>
            </w:pPr>
            <w:r w:rsidRPr="1116A704" w:rsidR="1116A704">
              <w:rPr>
                <w:sz w:val="22"/>
                <w:szCs w:val="22"/>
              </w:rPr>
              <w:t>How would you like me to present patients?</w:t>
            </w:r>
          </w:p>
          <w:p w:rsidP="1116A704" w14:paraId="558C0B09" wp14:textId="77777777">
            <w:pPr>
              <w:pStyle w:val="ListBullet"/>
              <w:rPr>
                <w:sz w:val="24"/>
                <w:szCs w:val="24"/>
              </w:rPr>
            </w:pPr>
            <w:r w:rsidRPr="1116A704" w:rsidR="1116A704">
              <w:rPr>
                <w:sz w:val="22"/>
                <w:szCs w:val="22"/>
              </w:rPr>
              <w:t>How much of the interview would you like me to lead?</w:t>
            </w:r>
          </w:p>
          <w:p w:rsidP="1116A704" w14:paraId="696C0BC1" wp14:textId="77777777">
            <w:pPr>
              <w:pStyle w:val="ListBullet"/>
              <w:rPr>
                <w:sz w:val="24"/>
                <w:szCs w:val="24"/>
              </w:rPr>
            </w:pPr>
            <w:r w:rsidRPr="1116A704" w:rsidR="1116A704">
              <w:rPr>
                <w:sz w:val="22"/>
                <w:szCs w:val="22"/>
              </w:rPr>
              <w:t>What should I do immediately if a patient endorses SI or HI?</w:t>
            </w:r>
          </w:p>
          <w:p w:rsidP="1116A704" w14:paraId="5127D807" wp14:textId="77777777">
            <w:pPr>
              <w:pStyle w:val="ListBullet"/>
              <w:rPr>
                <w:sz w:val="24"/>
                <w:szCs w:val="24"/>
              </w:rPr>
            </w:pPr>
            <w:r w:rsidRPr="1116A704" w:rsidR="1116A704">
              <w:rPr>
                <w:sz w:val="22"/>
                <w:szCs w:val="22"/>
              </w:rPr>
              <w:t>How do you prefer I handle documentation drafts?</w:t>
            </w:r>
          </w:p>
          <w:p w:rsidP="1116A704" w14:paraId="2B226881" wp14:textId="77777777">
            <w:pPr>
              <w:pStyle w:val="ListBullet"/>
              <w:rPr>
                <w:sz w:val="24"/>
                <w:szCs w:val="24"/>
              </w:rPr>
            </w:pPr>
            <w:r w:rsidRPr="1116A704" w:rsidR="1116A704">
              <w:rPr>
                <w:sz w:val="22"/>
                <w:szCs w:val="22"/>
              </w:rPr>
              <w:t>What diagnoses or medications should I review for this setting?</w:t>
            </w:r>
          </w:p>
          <w:p w:rsidP="1116A704" w14:paraId="6C000399" wp14:textId="77777777">
            <w:pPr>
              <w:pStyle w:val="ListBullet"/>
              <w:rPr>
                <w:sz w:val="24"/>
                <w:szCs w:val="24"/>
              </w:rPr>
            </w:pPr>
            <w:r w:rsidRPr="1116A704" w:rsidR="1116A704">
              <w:rPr>
                <w:sz w:val="22"/>
                <w:szCs w:val="22"/>
              </w:rPr>
              <w:t>What safety situations should I escalate immediately?</w:t>
            </w:r>
          </w:p>
          <w:p w:rsidP="1116A704" w14:paraId="765A2EAA" wp14:textId="77777777">
            <w:pPr>
              <w:pStyle w:val="ListBullet"/>
              <w:rPr>
                <w:sz w:val="24"/>
                <w:szCs w:val="24"/>
              </w:rPr>
            </w:pPr>
            <w:r w:rsidRPr="1116A704" w:rsidR="1116A704">
              <w:rPr>
                <w:sz w:val="22"/>
                <w:szCs w:val="22"/>
              </w:rPr>
              <w:t>How should I ask questions without disrupting clinic flow?</w:t>
            </w:r>
          </w:p>
          <w:p w:rsidP="1116A704" w14:paraId="341137EF" wp14:textId="77777777">
            <w:pPr>
              <w:pStyle w:val="ListBullet"/>
              <w:rPr>
                <w:sz w:val="24"/>
                <w:szCs w:val="24"/>
              </w:rPr>
            </w:pPr>
            <w:r w:rsidRPr="1116A704" w:rsidR="1116A704">
              <w:rPr>
                <w:sz w:val="22"/>
                <w:szCs w:val="22"/>
              </w:rPr>
              <w:t>What findings supported that diagnosis?</w:t>
            </w:r>
          </w:p>
          <w:p w:rsidP="1116A704" w14:paraId="7C99D959" wp14:textId="77777777">
            <w:pPr>
              <w:pStyle w:val="ListBullet"/>
              <w:rPr>
                <w:sz w:val="24"/>
                <w:szCs w:val="24"/>
              </w:rPr>
            </w:pPr>
            <w:r w:rsidRPr="1116A704" w:rsidR="1116A704">
              <w:rPr>
                <w:sz w:val="22"/>
                <w:szCs w:val="22"/>
              </w:rPr>
              <w:t>What made you choose that medication or treatment plan?</w:t>
            </w:r>
          </w:p>
          <w:p w:rsidP="1116A704" w14:paraId="5C7B227E" wp14:textId="77777777">
            <w:pPr>
              <w:pStyle w:val="ListBullet"/>
              <w:rPr>
                <w:sz w:val="24"/>
                <w:szCs w:val="24"/>
              </w:rPr>
            </w:pPr>
            <w:r w:rsidRPr="1116A704" w:rsidR="1116A704">
              <w:rPr>
                <w:sz w:val="22"/>
                <w:szCs w:val="22"/>
              </w:rPr>
              <w:t>What monitoring or side effects matter most for this patient?</w:t>
            </w:r>
          </w:p>
          <w:p w:rsidP="1116A704" w14:paraId="0057A2C9" wp14:textId="77777777">
            <w:pPr>
              <w:pStyle w:val="ListBullet"/>
              <w:rPr>
                <w:sz w:val="24"/>
                <w:szCs w:val="24"/>
              </w:rPr>
            </w:pPr>
            <w:r w:rsidRPr="1116A704" w:rsidR="1116A704">
              <w:rPr>
                <w:sz w:val="22"/>
                <w:szCs w:val="22"/>
              </w:rPr>
              <w:t>What would make this patient need a higher level of care?</w:t>
            </w:r>
          </w:p>
          <w:p w:rsidP="1116A704" w14:paraId="1AF03B5F" wp14:textId="77777777">
            <w:pPr>
              <w:pStyle w:val="ListBullet"/>
              <w:rPr>
                <w:sz w:val="24"/>
                <w:szCs w:val="24"/>
              </w:rPr>
            </w:pPr>
            <w:r w:rsidRPr="1116A704" w:rsidR="1116A704">
              <w:rPr>
                <w:sz w:val="22"/>
                <w:szCs w:val="22"/>
              </w:rPr>
              <w:t>What did I do well today, and what should I improve next time?</w:t>
            </w:r>
          </w:p>
          <w:p w:rsidP="1116A704" w14:paraId="06D49936" wp14:textId="77777777">
            <w:pPr>
              <w:pStyle w:val="Heading1"/>
              <w:rPr>
                <w:sz w:val="32"/>
                <w:szCs w:val="32"/>
              </w:rPr>
            </w:pPr>
            <w:r w:rsidRPr="1116A704" w:rsidR="1116A704">
              <w:rPr>
                <w:sz w:val="28"/>
                <w:szCs w:val="28"/>
              </w:rPr>
              <w:t>Quick Reminder</w:t>
            </w:r>
          </w:p>
          <w:p w:rsidP="1116A704" w14:paraId="01B71578" wp14:textId="77777777">
            <w:pPr>
              <w:rPr>
                <w:rFonts w:ascii="Arial" w:hAnsi="Arial" w:eastAsia="Arial"/>
                <w:b w:val="1"/>
                <w:bCs w:val="1"/>
                <w:sz w:val="24"/>
                <w:szCs w:val="24"/>
              </w:rPr>
            </w:pPr>
            <w:r w:rsidRPr="1116A704" w:rsidR="1116A704">
              <w:rPr>
                <w:rFonts w:ascii="Arial" w:hAnsi="Arial" w:eastAsia="Arial"/>
                <w:b w:val="1"/>
                <w:bCs w:val="1"/>
                <w:sz w:val="22"/>
                <w:szCs w:val="22"/>
              </w:rPr>
              <w:t>Be prepared. Be professional. Stay curious. Ask direct safety questions. Do not practice outside your role. Use supervision early. Document carefully. Review what you saw so each clinical day builds your confidence and judgment.</w:t>
            </w:r>
          </w:p>
        </w:tc>
      </w:tr>
    </w:tbl>
    <w:sectPr w:rsidRPr="0006063C" w:rsidR="00FC693F" w:rsidSect="00034616">
      <w:footerReference w:type="default" r:id="rId9"/>
      <w:pgSz w:w="12240" w:h="15840" w:orient="portrait"/>
      <w:pgMar w:top="648" w:right="648" w:bottom="648" w:left="64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xmlns:wp14="http://schemas.microsoft.com/office/word/2010/wordml" w14:paraId="17697008" wp14:textId="77777777">
    <w:pPr>
      <w:pStyle w:val="Footer"/>
      <w:jc w:val="center"/>
    </w:pPr>
    <w:r>
      <w:rPr>
        <w:rFonts w:ascii="Arial" w:hAnsi="Arial" w:eastAsia="Arial"/>
        <w:i/>
        <w:sz w:val="16"/>
      </w:rPr>
      <w:t>Developed by The APRN Pathway</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val="bestFit"/>
  <w:proofState w:spelling="clean" w:grammar="dirty"/>
  <w:trackRevisions w:val="false"/>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1116A704"/>
    <w:rsid w:val="733E3B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15:docId w15:val="{7B621276-2F93-40C2-A469-CE108FC3BED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spacing w:after="30" w:line="240" w:lineRule="auto"/>
    </w:pPr>
    <w:rPr>
      <w:rFonts w:ascii="Arial" w:hAnsi="Arial" w:eastAsia="Arial"/>
      <w:sz w:val="1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0" w:after="40"/>
      <w:outlineLvl w:val="0"/>
    </w:pPr>
    <w:rPr>
      <w:rFonts w:ascii="Arial" w:hAnsi="Arial" w:eastAsia="Arial" w:asciiTheme="majorHAnsi" w:hAnsiTheme="majorHAnsi" w:eastAsiaTheme="majorEastAsia" w:cstheme="majorBidi"/>
      <w:b/>
      <w:bCs/>
      <w:color w:val="365F91" w:themeColor="accent1" w:themeShade="BF"/>
      <w:sz w:val="21"/>
      <w:szCs w:val="28"/>
    </w:rPr>
  </w:style>
  <w:style w:type="paragraph" w:styleId="Heading2">
    <w:name w:val="heading 2"/>
    <w:basedOn w:val="Normal"/>
    <w:next w:val="Normal"/>
    <w:link w:val="Heading2Char"/>
    <w:uiPriority w:val="9"/>
    <w:unhideWhenUsed/>
    <w:qFormat/>
    <w:rsid w:val="00FC693F"/>
    <w:pPr>
      <w:keepNext/>
      <w:keepLines/>
      <w:spacing w:before="40" w:after="40"/>
      <w:outlineLvl w:val="1"/>
    </w:pPr>
    <w:rPr>
      <w:rFonts w:ascii="Arial" w:hAnsi="Arial" w:eastAsia="Arial" w:asciiTheme="majorHAnsi" w:hAnsiTheme="majorHAnsi" w:eastAsiaTheme="majorEastAsia" w:cstheme="majorBidi"/>
      <w:b/>
      <w:bCs/>
      <w:color w:val="4F81BD" w:themeColor="accent1"/>
      <w:sz w:val="19"/>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before="40" w:after="40" w:line="240" w:lineRule="auto"/>
      <w:contextualSpacing/>
    </w:pPr>
    <w:rPr>
      <w:rFonts w:ascii="Arial" w:hAnsi="Arial" w:eastAsia="Arial" w:asciiTheme="majorHAnsi" w:hAnsiTheme="majorHAnsi" w:eastAsiaTheme="majorEastAsia" w:cstheme="majorBidi"/>
      <w:b/>
      <w:color w:val="17365D" w:themeColor="text2" w:themeShade="BF"/>
      <w:spacing w:val="5"/>
      <w:kern w:val="28"/>
      <w:sz w:val="36"/>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0"/>
      <w:ind w:left="259" w:hanging="173"/>
      <w:contextualSpacing/>
    </w:pPr>
    <w:rPr>
      <w:rFonts w:ascii="Arial" w:hAnsi="Arial" w:eastAsia="Arial"/>
      <w:sz w:val="16"/>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inyCheck" w:customStyle="1">
    <w:name w:val="Tiny Check"/>
    <w:basedOn w:val="Normal"/>
    <w:pPr>
      <w:spacing w:after="16" w:line="240" w:lineRule="auto"/>
    </w:pPr>
    <w:rPr>
      <w:rFonts w:ascii="Arial" w:hAnsi="Arial" w:eastAsia="Arial"/>
      <w:sz w:val="15"/>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microsoft.com/office/2007/relationships/stylesWithEffects" Target="stylesWithEffects.xml" Id="rId4" /><Relationship Type="http://schemas.openxmlformats.org/officeDocument/2006/relationships/settings" Target="settings.xml" Id="rId5" /><Relationship Type="http://schemas.openxmlformats.org/officeDocument/2006/relationships/webSettings" Target="webSettings.xml" Id="rId6" /><Relationship Type="http://schemas.openxmlformats.org/officeDocument/2006/relationships/fontTable" Target="fontTable.xml" Id="rId7" /><Relationship Type="http://schemas.openxmlformats.org/officeDocument/2006/relationships/theme" Target="theme/theme1.xml" Id="rId8" /><Relationship Type="http://schemas.openxmlformats.org/officeDocument/2006/relationships/customXml" Target="../customXml/item1.xml" Id="rId1" /><Relationship Type="http://schemas.openxmlformats.org/officeDocument/2006/relationships/numbering" Target="numbering.xml" Id="rId2"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Foster, Ansley</lastModifiedBy>
  <revision>2</revision>
  <dcterms:created xsi:type="dcterms:W3CDTF">2013-12-23T23:15:00.0000000Z</dcterms:created>
  <dcterms:modified xsi:type="dcterms:W3CDTF">2026-06-19T18:19:02.4559556Z</dcterms:modified>
  <category/>
</coreProperties>
</file>