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819D9" w14:textId="7BCA7D2B" w:rsidR="00A8106E" w:rsidRPr="00CC38FE" w:rsidRDefault="00125F7E" w:rsidP="009E71BD">
      <w:pPr>
        <w:spacing w:after="0" w:line="240" w:lineRule="auto"/>
        <w:rPr>
          <w:b/>
          <w:bCs/>
        </w:rPr>
      </w:pPr>
      <w:r w:rsidRPr="00CC38FE">
        <w:rPr>
          <w:b/>
          <w:bCs/>
        </w:rPr>
        <w:t>TO:</w:t>
      </w:r>
      <w:r w:rsidR="001F3CC7">
        <w:rPr>
          <w:b/>
          <w:bCs/>
        </w:rPr>
        <w:t xml:space="preserve"> Thurston </w:t>
      </w:r>
      <w:r w:rsidR="00FD6FDA">
        <w:rPr>
          <w:b/>
          <w:bCs/>
        </w:rPr>
        <w:t>County Board of County Commissioners</w:t>
      </w:r>
    </w:p>
    <w:p w14:paraId="6D4048C7" w14:textId="77777777" w:rsidR="00125F7E" w:rsidRPr="00CC38FE" w:rsidRDefault="00125F7E" w:rsidP="009E71BD">
      <w:pPr>
        <w:spacing w:after="0" w:line="240" w:lineRule="auto"/>
        <w:rPr>
          <w:b/>
          <w:bCs/>
        </w:rPr>
      </w:pPr>
    </w:p>
    <w:p w14:paraId="4894B63B" w14:textId="36F45067" w:rsidR="00125F7E" w:rsidRPr="00CC38FE" w:rsidRDefault="00125F7E" w:rsidP="009E71BD">
      <w:pPr>
        <w:spacing w:after="0" w:line="240" w:lineRule="auto"/>
        <w:rPr>
          <w:b/>
          <w:bCs/>
        </w:rPr>
      </w:pPr>
      <w:r w:rsidRPr="00CC38FE">
        <w:rPr>
          <w:b/>
          <w:bCs/>
        </w:rPr>
        <w:t>FROM:</w:t>
      </w:r>
      <w:r w:rsidR="001F3CC7">
        <w:rPr>
          <w:b/>
          <w:bCs/>
        </w:rPr>
        <w:t xml:space="preserve"> </w:t>
      </w:r>
      <w:r w:rsidR="00C206CE">
        <w:rPr>
          <w:b/>
          <w:bCs/>
        </w:rPr>
        <w:t>Thurston County Planning Commission</w:t>
      </w:r>
    </w:p>
    <w:p w14:paraId="3FCE6BF1" w14:textId="77777777" w:rsidR="00125F7E" w:rsidRPr="00CC38FE" w:rsidRDefault="00125F7E" w:rsidP="009E71BD">
      <w:pPr>
        <w:spacing w:after="0" w:line="240" w:lineRule="auto"/>
        <w:rPr>
          <w:b/>
          <w:bCs/>
        </w:rPr>
      </w:pPr>
    </w:p>
    <w:p w14:paraId="14FC5C5B" w14:textId="45DB196E" w:rsidR="00125F7E" w:rsidRPr="00CC38FE" w:rsidRDefault="00125F7E" w:rsidP="009E71BD">
      <w:pPr>
        <w:spacing w:after="0" w:line="240" w:lineRule="auto"/>
        <w:rPr>
          <w:b/>
          <w:bCs/>
        </w:rPr>
      </w:pPr>
      <w:r w:rsidRPr="00CC38FE">
        <w:rPr>
          <w:b/>
          <w:bCs/>
        </w:rPr>
        <w:t>DATE:</w:t>
      </w:r>
      <w:r w:rsidR="001F3CC7">
        <w:rPr>
          <w:b/>
          <w:bCs/>
        </w:rPr>
        <w:t xml:space="preserve"> September 22, 2025</w:t>
      </w:r>
    </w:p>
    <w:p w14:paraId="4EF217B5" w14:textId="77777777" w:rsidR="00125F7E" w:rsidRPr="00CC38FE" w:rsidRDefault="00125F7E" w:rsidP="009E71BD">
      <w:pPr>
        <w:spacing w:after="0" w:line="240" w:lineRule="auto"/>
        <w:rPr>
          <w:b/>
          <w:bCs/>
        </w:rPr>
      </w:pPr>
    </w:p>
    <w:p w14:paraId="4729E2D7" w14:textId="003A2CDE" w:rsidR="00125F7E" w:rsidRPr="00CC38FE" w:rsidRDefault="00CC38FE" w:rsidP="009E71BD">
      <w:pPr>
        <w:spacing w:after="0" w:line="240" w:lineRule="auto"/>
        <w:rPr>
          <w:b/>
          <w:bCs/>
        </w:rPr>
      </w:pPr>
      <w:r w:rsidRPr="00CC38FE">
        <w:rPr>
          <w:b/>
          <w:bCs/>
        </w:rPr>
        <w:t>SUBJECT</w:t>
      </w:r>
      <w:r w:rsidR="00125F7E" w:rsidRPr="00CC38FE">
        <w:rPr>
          <w:b/>
          <w:bCs/>
        </w:rPr>
        <w:t>:</w:t>
      </w:r>
      <w:r w:rsidR="001F3CC7">
        <w:rPr>
          <w:b/>
          <w:bCs/>
        </w:rPr>
        <w:t xml:space="preserve"> </w:t>
      </w:r>
      <w:bookmarkStart w:id="0" w:name="_Hlk209424836"/>
      <w:r w:rsidR="007A2D79">
        <w:rPr>
          <w:b/>
          <w:bCs/>
        </w:rPr>
        <w:t xml:space="preserve">Black Lake Quarry (Littlerock) Rezone </w:t>
      </w:r>
      <w:r w:rsidR="00FD6FDA">
        <w:rPr>
          <w:b/>
          <w:bCs/>
        </w:rPr>
        <w:t xml:space="preserve">and Land Use Amendment </w:t>
      </w:r>
      <w:bookmarkEnd w:id="0"/>
      <w:r w:rsidR="00FD6FDA">
        <w:rPr>
          <w:b/>
          <w:bCs/>
        </w:rPr>
        <w:t xml:space="preserve">(CPA-24) </w:t>
      </w:r>
      <w:r w:rsidR="007A2D79">
        <w:rPr>
          <w:b/>
          <w:bCs/>
        </w:rPr>
        <w:t>Planning Commission Recommendation Letter</w:t>
      </w:r>
    </w:p>
    <w:p w14:paraId="47A1AE12" w14:textId="77777777" w:rsidR="00B01B33" w:rsidRDefault="00B01B33" w:rsidP="009E71BD">
      <w:pPr>
        <w:spacing w:after="0" w:line="240" w:lineRule="auto"/>
      </w:pPr>
    </w:p>
    <w:p w14:paraId="56F6A9CF" w14:textId="2A63277A" w:rsidR="00FD6FDA" w:rsidRDefault="00FD6FDA" w:rsidP="00FD6FDA">
      <w:pPr>
        <w:tabs>
          <w:tab w:val="left" w:pos="2865"/>
        </w:tabs>
      </w:pPr>
      <w:r>
        <w:t>Dear Commissioners,</w:t>
      </w:r>
    </w:p>
    <w:p w14:paraId="7784F9EC" w14:textId="37FFF9D1" w:rsidR="00FD6FDA" w:rsidRDefault="00FD6FDA" w:rsidP="00FD6FDA">
      <w:pPr>
        <w:tabs>
          <w:tab w:val="left" w:pos="2865"/>
        </w:tabs>
      </w:pPr>
      <w:r>
        <w:t xml:space="preserve">The Thurston County Planning Commission has completed its review of Comprehensive Plan Docket Item CPA-24, </w:t>
      </w:r>
      <w:r w:rsidRPr="00FD6FDA">
        <w:t>Black Lake Quarry (Littlerock) Rezone and Land Use Amendment</w:t>
      </w:r>
      <w:r>
        <w:t>.</w:t>
      </w:r>
    </w:p>
    <w:p w14:paraId="7120F1B6" w14:textId="3F83D607" w:rsidR="00FD6FDA" w:rsidRDefault="00FD6FDA" w:rsidP="00FD6FDA">
      <w:pPr>
        <w:tabs>
          <w:tab w:val="left" w:pos="2865"/>
        </w:tabs>
      </w:pPr>
      <w:r>
        <w:t xml:space="preserve">The Planning Commission held work </w:t>
      </w:r>
      <w:r w:rsidR="007B3695">
        <w:t xml:space="preserve">sessions on June </w:t>
      </w:r>
      <w:r w:rsidR="00F954F1">
        <w:t>4</w:t>
      </w:r>
      <w:r w:rsidR="00215E65">
        <w:t>th</w:t>
      </w:r>
      <w:r w:rsidR="00F954F1">
        <w:t>, June 18</w:t>
      </w:r>
      <w:r w:rsidR="00215E65">
        <w:t>th</w:t>
      </w:r>
      <w:r w:rsidR="00F954F1">
        <w:t xml:space="preserve">, and </w:t>
      </w:r>
      <w:r w:rsidR="00AE6F21">
        <w:t>Jul</w:t>
      </w:r>
      <w:r w:rsidR="00215E65">
        <w:t>y 2nd,</w:t>
      </w:r>
      <w:r>
        <w:t xml:space="preserve"> </w:t>
      </w:r>
      <w:r w:rsidR="00215E65">
        <w:t>a public hearing on August 6</w:t>
      </w:r>
      <w:r w:rsidR="000E4935">
        <w:t>th, and issued a recommendation at a final work session on September 3rd</w:t>
      </w:r>
      <w:r w:rsidR="00A220E7">
        <w:t>, 2025</w:t>
      </w:r>
      <w:r w:rsidR="000E4935">
        <w:t xml:space="preserve">. </w:t>
      </w:r>
      <w:r>
        <w:t xml:space="preserve">The Planning Commission received written and oral public testimony regarding the proposal, with </w:t>
      </w:r>
      <w:r w:rsidR="00C31575">
        <w:t>1</w:t>
      </w:r>
      <w:r w:rsidR="002474C3">
        <w:t>4</w:t>
      </w:r>
      <w:r w:rsidR="00C31575">
        <w:t xml:space="preserve"> written </w:t>
      </w:r>
      <w:r>
        <w:t xml:space="preserve">comments. </w:t>
      </w:r>
      <w:r w:rsidR="002C1ABB">
        <w:t xml:space="preserve">Ten </w:t>
      </w:r>
      <w:r w:rsidR="399FB4D4">
        <w:t xml:space="preserve">written </w:t>
      </w:r>
      <w:r>
        <w:t>comments were against the proposal,</w:t>
      </w:r>
      <w:r w:rsidR="005C0FB8">
        <w:t xml:space="preserve"> citing primarily environmental concerns, particularly relating to the Black River.</w:t>
      </w:r>
      <w:r>
        <w:t xml:space="preserve"> </w:t>
      </w:r>
      <w:r w:rsidR="005C0FB8">
        <w:t>T</w:t>
      </w:r>
      <w:r w:rsidR="003159B7">
        <w:t>hree comments were</w:t>
      </w:r>
      <w:r>
        <w:t xml:space="preserve"> in support of the proposal, and one requested </w:t>
      </w:r>
      <w:r w:rsidR="002B2D24">
        <w:t xml:space="preserve">thorough screening of impacts </w:t>
      </w:r>
      <w:r w:rsidR="008D6A27">
        <w:t>on groundwater levels and Oregon Spotted Frog habitat</w:t>
      </w:r>
      <w:r>
        <w:t>.</w:t>
      </w:r>
    </w:p>
    <w:p w14:paraId="1FD68AE6" w14:textId="7227BC6E" w:rsidR="00CA54A1" w:rsidRDefault="00FD6FDA" w:rsidP="00FD6FDA">
      <w:pPr>
        <w:tabs>
          <w:tab w:val="left" w:pos="2865"/>
        </w:tabs>
      </w:pPr>
      <w:r>
        <w:t xml:space="preserve">On </w:t>
      </w:r>
      <w:r w:rsidR="20C683E4">
        <w:t xml:space="preserve">September 3, </w:t>
      </w:r>
      <w:proofErr w:type="gramStart"/>
      <w:r w:rsidR="20C683E4">
        <w:t>2025</w:t>
      </w:r>
      <w:proofErr w:type="gramEnd"/>
      <w:r>
        <w:t xml:space="preserve"> the Planning Commission issued a recommendation (6-</w:t>
      </w:r>
      <w:r w:rsidR="008D6A27">
        <w:t>3</w:t>
      </w:r>
      <w:r>
        <w:t xml:space="preserve">) to </w:t>
      </w:r>
      <w:r w:rsidR="008D6A27">
        <w:t>deny</w:t>
      </w:r>
      <w:r>
        <w:t xml:space="preserve"> the request of the land use and rezone amendment.</w:t>
      </w:r>
    </w:p>
    <w:p w14:paraId="37A3EDCF" w14:textId="049F0A09" w:rsidR="003177FB" w:rsidRPr="00487341" w:rsidRDefault="00487341" w:rsidP="005B554E">
      <w:pPr>
        <w:tabs>
          <w:tab w:val="left" w:pos="2865"/>
        </w:tabs>
        <w:jc w:val="center"/>
        <w:rPr>
          <w:rFonts w:ascii="Arial" w:hAnsi="Arial" w:cs="Arial"/>
          <w:b/>
          <w:bCs/>
        </w:rPr>
      </w:pPr>
      <w:r w:rsidRPr="00487341">
        <w:rPr>
          <w:rFonts w:ascii="Arial" w:hAnsi="Arial" w:cs="Arial"/>
          <w:b/>
          <w:bCs/>
        </w:rPr>
        <w:t>“</w:t>
      </w:r>
      <w:r w:rsidRPr="00487341">
        <w:rPr>
          <w:b/>
          <w:bCs/>
        </w:rPr>
        <w:t>Move to recommend that the Board of County Commissioners deny the rezone and land use amendment request.”</w:t>
      </w:r>
    </w:p>
    <w:p w14:paraId="7B07AC04" w14:textId="77777777" w:rsidR="00972E21" w:rsidRPr="00972E21" w:rsidRDefault="00972E21" w:rsidP="00972E21">
      <w:pPr>
        <w:tabs>
          <w:tab w:val="left" w:pos="2865"/>
        </w:tabs>
      </w:pPr>
      <w:r w:rsidRPr="1F92793F">
        <w:rPr>
          <w:rFonts w:eastAsiaTheme="minorEastAsia"/>
        </w:rPr>
        <w:t xml:space="preserve">The Planning Commission produced the following findings of fact: </w:t>
      </w:r>
    </w:p>
    <w:p w14:paraId="705F167B" w14:textId="77777777" w:rsidR="00972E21" w:rsidRPr="00972E21" w:rsidRDefault="00972E21" w:rsidP="00972E21">
      <w:pPr>
        <w:tabs>
          <w:tab w:val="left" w:pos="2865"/>
        </w:tabs>
      </w:pPr>
      <w:r w:rsidRPr="1F92793F">
        <w:rPr>
          <w:rFonts w:eastAsiaTheme="minorEastAsia"/>
        </w:rPr>
        <w:t>Findings:</w:t>
      </w:r>
    </w:p>
    <w:p w14:paraId="0AEE555D" w14:textId="6B5A3F1E" w:rsidR="00972E21" w:rsidRPr="00F00F1E" w:rsidRDefault="00972E21" w:rsidP="00F00F1E">
      <w:pPr>
        <w:pStyle w:val="ListParagraph"/>
        <w:numPr>
          <w:ilvl w:val="0"/>
          <w:numId w:val="2"/>
        </w:numPr>
        <w:tabs>
          <w:tab w:val="left" w:pos="2865"/>
        </w:tabs>
      </w:pPr>
      <w:r w:rsidRPr="1F92793F">
        <w:rPr>
          <w:rFonts w:eastAsiaTheme="minorEastAsia"/>
          <w:sz w:val="22"/>
          <w:szCs w:val="22"/>
        </w:rPr>
        <w:t xml:space="preserve">The applicant requested a site-specific land use and associated zoning amendment of approximately </w:t>
      </w:r>
      <w:r w:rsidR="008D40A6" w:rsidRPr="1F92793F">
        <w:rPr>
          <w:rFonts w:eastAsiaTheme="minorEastAsia"/>
          <w:sz w:val="22"/>
          <w:szCs w:val="22"/>
        </w:rPr>
        <w:t>270</w:t>
      </w:r>
      <w:r w:rsidRPr="1F92793F">
        <w:rPr>
          <w:rFonts w:eastAsiaTheme="minorEastAsia"/>
          <w:sz w:val="22"/>
          <w:szCs w:val="22"/>
        </w:rPr>
        <w:t xml:space="preserve"> acres (parcel</w:t>
      </w:r>
      <w:r w:rsidR="008D40A6" w:rsidRPr="1F92793F">
        <w:rPr>
          <w:rFonts w:eastAsiaTheme="minorEastAsia"/>
          <w:sz w:val="22"/>
          <w:szCs w:val="22"/>
        </w:rPr>
        <w:t>s</w:t>
      </w:r>
      <w:r w:rsidRPr="1F92793F">
        <w:rPr>
          <w:rFonts w:eastAsiaTheme="minorEastAsia"/>
          <w:sz w:val="22"/>
          <w:szCs w:val="22"/>
        </w:rPr>
        <w:t xml:space="preserve"> </w:t>
      </w:r>
      <w:r w:rsidR="008D40A6" w:rsidRPr="1F92793F">
        <w:rPr>
          <w:rFonts w:eastAsiaTheme="minorEastAsia"/>
          <w:sz w:val="22"/>
          <w:szCs w:val="22"/>
        </w:rPr>
        <w:t>12718310000, 1371344000, 13724110000, 13724140000</w:t>
      </w:r>
      <w:r w:rsidRPr="1F92793F">
        <w:rPr>
          <w:rFonts w:eastAsiaTheme="minorEastAsia"/>
          <w:sz w:val="22"/>
          <w:szCs w:val="22"/>
        </w:rPr>
        <w:t xml:space="preserve">) located at </w:t>
      </w:r>
      <w:r w:rsidR="001304FD" w:rsidRPr="1F92793F">
        <w:rPr>
          <w:rFonts w:eastAsiaTheme="minorEastAsia"/>
          <w:sz w:val="22"/>
          <w:szCs w:val="22"/>
        </w:rPr>
        <w:t>4741 88th Ave SW</w:t>
      </w:r>
      <w:r w:rsidRPr="1F92793F">
        <w:rPr>
          <w:rFonts w:eastAsiaTheme="minorEastAsia"/>
          <w:sz w:val="22"/>
          <w:szCs w:val="22"/>
        </w:rPr>
        <w:t xml:space="preserve"> from </w:t>
      </w:r>
      <w:r w:rsidR="001304FD" w:rsidRPr="1F92793F">
        <w:rPr>
          <w:rFonts w:eastAsiaTheme="minorEastAsia"/>
          <w:sz w:val="22"/>
          <w:szCs w:val="22"/>
        </w:rPr>
        <w:t xml:space="preserve">Rural </w:t>
      </w:r>
      <w:r w:rsidR="00013A48" w:rsidRPr="1F92793F">
        <w:rPr>
          <w:rFonts w:eastAsiaTheme="minorEastAsia"/>
          <w:sz w:val="22"/>
          <w:szCs w:val="22"/>
        </w:rPr>
        <w:t>One Dwelling Unit per Twenty Acres</w:t>
      </w:r>
      <w:r w:rsidR="001304FD" w:rsidRPr="1F92793F">
        <w:rPr>
          <w:rFonts w:eastAsiaTheme="minorEastAsia"/>
          <w:sz w:val="22"/>
          <w:szCs w:val="22"/>
        </w:rPr>
        <w:t xml:space="preserve"> (R 1/20) to Rural Resource Industrial (RRI).</w:t>
      </w:r>
      <w:r w:rsidRPr="1F92793F">
        <w:rPr>
          <w:rFonts w:eastAsiaTheme="minorEastAsia"/>
          <w:sz w:val="22"/>
          <w:szCs w:val="22"/>
        </w:rPr>
        <w:t xml:space="preserve"> </w:t>
      </w:r>
    </w:p>
    <w:p w14:paraId="744D7AD1" w14:textId="49785ED9" w:rsidR="00972E21" w:rsidRPr="00F00F1E" w:rsidRDefault="00972E21" w:rsidP="00F00F1E">
      <w:pPr>
        <w:pStyle w:val="ListParagraph"/>
        <w:numPr>
          <w:ilvl w:val="0"/>
          <w:numId w:val="2"/>
        </w:numPr>
        <w:tabs>
          <w:tab w:val="left" w:pos="2865"/>
        </w:tabs>
      </w:pPr>
      <w:r w:rsidRPr="1F92793F">
        <w:rPr>
          <w:rFonts w:eastAsiaTheme="minorEastAsia"/>
          <w:sz w:val="22"/>
          <w:szCs w:val="22"/>
        </w:rPr>
        <w:t>This item was added to the 2024</w:t>
      </w:r>
      <w:r w:rsidR="000821BC" w:rsidRPr="1F92793F">
        <w:rPr>
          <w:rFonts w:eastAsiaTheme="minorEastAsia"/>
          <w:sz w:val="22"/>
          <w:szCs w:val="22"/>
        </w:rPr>
        <w:t>-2025</w:t>
      </w:r>
      <w:r w:rsidRPr="1F92793F">
        <w:rPr>
          <w:rFonts w:eastAsiaTheme="minorEastAsia"/>
          <w:sz w:val="22"/>
          <w:szCs w:val="22"/>
        </w:rPr>
        <w:t xml:space="preserve"> Comprehensive Plan Docket as Item # CPA-2</w:t>
      </w:r>
      <w:r w:rsidR="000821BC" w:rsidRPr="1F92793F">
        <w:rPr>
          <w:rFonts w:eastAsiaTheme="minorEastAsia"/>
          <w:sz w:val="22"/>
          <w:szCs w:val="22"/>
        </w:rPr>
        <w:t>4</w:t>
      </w:r>
      <w:r w:rsidRPr="1F92793F">
        <w:rPr>
          <w:rFonts w:eastAsiaTheme="minorEastAsia"/>
          <w:sz w:val="22"/>
          <w:szCs w:val="22"/>
        </w:rPr>
        <w:t xml:space="preserve"> in 2024.</w:t>
      </w:r>
    </w:p>
    <w:p w14:paraId="5B6DA04E" w14:textId="4BB81C44" w:rsidR="00972E21" w:rsidRPr="00F00F1E" w:rsidRDefault="00972E21" w:rsidP="00F00F1E">
      <w:pPr>
        <w:pStyle w:val="ListParagraph"/>
        <w:numPr>
          <w:ilvl w:val="0"/>
          <w:numId w:val="2"/>
        </w:numPr>
        <w:tabs>
          <w:tab w:val="left" w:pos="2865"/>
        </w:tabs>
      </w:pPr>
      <w:r w:rsidRPr="1F92793F">
        <w:rPr>
          <w:rFonts w:eastAsiaTheme="minorEastAsia"/>
          <w:sz w:val="22"/>
          <w:szCs w:val="22"/>
        </w:rPr>
        <w:t>The Thurston County Planning Commission held a duly noticed public hearing on</w:t>
      </w:r>
      <w:r w:rsidR="000821BC" w:rsidRPr="1F92793F">
        <w:rPr>
          <w:rFonts w:eastAsiaTheme="minorEastAsia"/>
          <w:sz w:val="22"/>
          <w:szCs w:val="22"/>
        </w:rPr>
        <w:t xml:space="preserve"> August 6</w:t>
      </w:r>
      <w:r w:rsidRPr="1F92793F">
        <w:rPr>
          <w:rFonts w:eastAsiaTheme="minorEastAsia"/>
          <w:sz w:val="22"/>
          <w:szCs w:val="22"/>
        </w:rPr>
        <w:t>, 202</w:t>
      </w:r>
      <w:r w:rsidR="000821BC" w:rsidRPr="1F92793F">
        <w:rPr>
          <w:rFonts w:eastAsiaTheme="minorEastAsia"/>
          <w:sz w:val="22"/>
          <w:szCs w:val="22"/>
        </w:rPr>
        <w:t>5</w:t>
      </w:r>
      <w:r w:rsidRPr="1F92793F">
        <w:rPr>
          <w:rFonts w:eastAsiaTheme="minorEastAsia"/>
          <w:sz w:val="22"/>
          <w:szCs w:val="22"/>
        </w:rPr>
        <w:t>, as required by Thurston County Code Chapter 2.05 Growth Management Public Participation.</w:t>
      </w:r>
    </w:p>
    <w:p w14:paraId="17ABBE42" w14:textId="6E33FFB3" w:rsidR="00972E21" w:rsidRPr="00F00F1E" w:rsidRDefault="00972E21" w:rsidP="00F00F1E">
      <w:pPr>
        <w:pStyle w:val="ListParagraph"/>
        <w:numPr>
          <w:ilvl w:val="0"/>
          <w:numId w:val="2"/>
        </w:numPr>
        <w:tabs>
          <w:tab w:val="left" w:pos="2865"/>
        </w:tabs>
      </w:pPr>
      <w:r w:rsidRPr="1F92793F">
        <w:rPr>
          <w:rFonts w:eastAsiaTheme="minorEastAsia"/>
          <w:sz w:val="22"/>
          <w:szCs w:val="22"/>
        </w:rPr>
        <w:t>This recommendation reflects the Planning Commission’s consideration of public input and review of the proposed amendment.</w:t>
      </w:r>
    </w:p>
    <w:p w14:paraId="32AEAF5C" w14:textId="7D984011" w:rsidR="00972E21" w:rsidRPr="00F00F1E" w:rsidRDefault="00972E21" w:rsidP="00F00F1E">
      <w:pPr>
        <w:pStyle w:val="ListParagraph"/>
        <w:numPr>
          <w:ilvl w:val="0"/>
          <w:numId w:val="2"/>
        </w:numPr>
        <w:tabs>
          <w:tab w:val="left" w:pos="2865"/>
        </w:tabs>
      </w:pPr>
      <w:r w:rsidRPr="1F92793F">
        <w:rPr>
          <w:rFonts w:eastAsiaTheme="minorEastAsia"/>
          <w:sz w:val="22"/>
          <w:szCs w:val="22"/>
        </w:rPr>
        <w:t>The recommendation is consistent with the Growth Management Act 36.70A RCW.</w:t>
      </w:r>
    </w:p>
    <w:p w14:paraId="728A3DE7" w14:textId="54DED30C" w:rsidR="00972E21" w:rsidRPr="00F00F1E" w:rsidRDefault="00972E21" w:rsidP="00F00F1E">
      <w:pPr>
        <w:pStyle w:val="ListParagraph"/>
        <w:numPr>
          <w:ilvl w:val="0"/>
          <w:numId w:val="2"/>
        </w:numPr>
        <w:tabs>
          <w:tab w:val="left" w:pos="2865"/>
        </w:tabs>
      </w:pPr>
      <w:r w:rsidRPr="1F92793F">
        <w:rPr>
          <w:rFonts w:eastAsiaTheme="minorEastAsia"/>
          <w:sz w:val="22"/>
          <w:szCs w:val="22"/>
        </w:rPr>
        <w:t>The recommendation is consistent with the Thurston County Comprehensive Plan.</w:t>
      </w:r>
    </w:p>
    <w:p w14:paraId="5F9E10D1" w14:textId="03534B67" w:rsidR="00F61509" w:rsidRPr="00F00F1E" w:rsidRDefault="00972E21" w:rsidP="00F00F1E">
      <w:pPr>
        <w:pStyle w:val="ListParagraph"/>
        <w:numPr>
          <w:ilvl w:val="0"/>
          <w:numId w:val="2"/>
        </w:numPr>
        <w:tabs>
          <w:tab w:val="left" w:pos="2865"/>
        </w:tabs>
      </w:pPr>
      <w:r w:rsidRPr="1F92793F">
        <w:rPr>
          <w:rFonts w:eastAsiaTheme="minorEastAsia"/>
          <w:sz w:val="22"/>
          <w:szCs w:val="22"/>
        </w:rPr>
        <w:lastRenderedPageBreak/>
        <w:t>The recommendation is consistent with the Thurston County County-wide Planning Policies.</w:t>
      </w:r>
    </w:p>
    <w:p w14:paraId="748E9F55" w14:textId="7A8C58DA" w:rsidR="00882439" w:rsidRDefault="00882439" w:rsidP="00F00F1E">
      <w:pPr>
        <w:pStyle w:val="ListParagraph"/>
        <w:numPr>
          <w:ilvl w:val="0"/>
          <w:numId w:val="2"/>
        </w:numPr>
        <w:tabs>
          <w:tab w:val="left" w:pos="2865"/>
        </w:tabs>
      </w:pPr>
      <w:r w:rsidRPr="1F92793F">
        <w:rPr>
          <w:rFonts w:eastAsiaTheme="minorEastAsia"/>
          <w:sz w:val="22"/>
          <w:szCs w:val="22"/>
        </w:rPr>
        <w:t xml:space="preserve">The recommendation is consistent with the intents of the </w:t>
      </w:r>
      <w:r w:rsidR="00BB7619" w:rsidRPr="1F92793F">
        <w:rPr>
          <w:rFonts w:eastAsiaTheme="minorEastAsia"/>
          <w:sz w:val="22"/>
          <w:szCs w:val="22"/>
        </w:rPr>
        <w:t xml:space="preserve">existing and requested zoning and land use designations, as provided in the Thurston County Comprehensive Plan and </w:t>
      </w:r>
      <w:r w:rsidR="00F6401C" w:rsidRPr="1F92793F">
        <w:rPr>
          <w:rFonts w:eastAsiaTheme="minorEastAsia"/>
          <w:sz w:val="22"/>
          <w:szCs w:val="22"/>
        </w:rPr>
        <w:t xml:space="preserve">Thurston County Code Chapters </w:t>
      </w:r>
      <w:r w:rsidR="00F00F1E" w:rsidRPr="1F92793F">
        <w:rPr>
          <w:rFonts w:eastAsiaTheme="minorEastAsia"/>
          <w:sz w:val="22"/>
          <w:szCs w:val="22"/>
        </w:rPr>
        <w:t>20.09B and 20.29.</w:t>
      </w:r>
    </w:p>
    <w:p w14:paraId="6F20A878" w14:textId="0CFE72A0" w:rsidR="00F00F1E" w:rsidRDefault="00B45F67" w:rsidP="00F00F1E">
      <w:pPr>
        <w:pStyle w:val="ListParagraph"/>
        <w:numPr>
          <w:ilvl w:val="0"/>
          <w:numId w:val="2"/>
        </w:numPr>
        <w:tabs>
          <w:tab w:val="left" w:pos="2865"/>
        </w:tabs>
      </w:pPr>
      <w:r w:rsidRPr="1F92793F">
        <w:rPr>
          <w:rFonts w:eastAsiaTheme="minorEastAsia"/>
          <w:sz w:val="22"/>
          <w:szCs w:val="22"/>
        </w:rPr>
        <w:t xml:space="preserve">The site is located adjacent to the Black River Corridor and </w:t>
      </w:r>
      <w:r w:rsidR="007C5F23" w:rsidRPr="1F92793F">
        <w:rPr>
          <w:rFonts w:eastAsiaTheme="minorEastAsia"/>
          <w:sz w:val="22"/>
          <w:szCs w:val="22"/>
        </w:rPr>
        <w:t>contains habitat for the Oregon Spotted Frog, a federally listed species.</w:t>
      </w:r>
    </w:p>
    <w:p w14:paraId="12F3B5BC" w14:textId="73F2944F" w:rsidR="00AC3E05" w:rsidRDefault="00AC3E05" w:rsidP="00F00F1E">
      <w:pPr>
        <w:pStyle w:val="ListParagraph"/>
        <w:numPr>
          <w:ilvl w:val="0"/>
          <w:numId w:val="2"/>
        </w:numPr>
        <w:tabs>
          <w:tab w:val="left" w:pos="2865"/>
        </w:tabs>
      </w:pPr>
      <w:r w:rsidRPr="1F92793F">
        <w:rPr>
          <w:rFonts w:eastAsiaTheme="minorEastAsia"/>
          <w:sz w:val="22"/>
          <w:szCs w:val="22"/>
        </w:rPr>
        <w:t>The site contains mapped potential wetlands, shoreline areas, fish and wildlife habitat conservation areas, critical aquifer recharge areas, geologically hazardous areas, and frequently flooded areas</w:t>
      </w:r>
      <w:r w:rsidR="00D071A7" w:rsidRPr="1F92793F">
        <w:rPr>
          <w:rFonts w:eastAsiaTheme="minorEastAsia"/>
          <w:sz w:val="22"/>
          <w:szCs w:val="22"/>
        </w:rPr>
        <w:t>.</w:t>
      </w:r>
    </w:p>
    <w:p w14:paraId="09676A2F" w14:textId="6E28E325" w:rsidR="00EA2A04" w:rsidRPr="00F00F1E" w:rsidRDefault="00EA2A04" w:rsidP="6133DD32">
      <w:pPr>
        <w:pStyle w:val="ListParagraph"/>
        <w:numPr>
          <w:ilvl w:val="0"/>
          <w:numId w:val="2"/>
        </w:numPr>
        <w:tabs>
          <w:tab w:val="left" w:pos="2865"/>
        </w:tabs>
        <w:rPr>
          <w:rFonts w:eastAsiaTheme="minorEastAsia"/>
          <w:sz w:val="22"/>
          <w:szCs w:val="22"/>
        </w:rPr>
      </w:pPr>
      <w:r w:rsidRPr="6133DD32">
        <w:rPr>
          <w:rFonts w:eastAsiaTheme="minorEastAsia"/>
          <w:sz w:val="22"/>
          <w:szCs w:val="22"/>
        </w:rPr>
        <w:t xml:space="preserve">The site is </w:t>
      </w:r>
      <w:r w:rsidR="008854B1" w:rsidRPr="6133DD32">
        <w:rPr>
          <w:rFonts w:eastAsiaTheme="minorEastAsia"/>
          <w:sz w:val="22"/>
          <w:szCs w:val="22"/>
        </w:rPr>
        <w:t>adjacent on all sides to low-intensity rural uses; primarily open space and residential uses</w:t>
      </w:r>
      <w:r w:rsidR="00031E76" w:rsidRPr="6133DD32">
        <w:rPr>
          <w:rFonts w:eastAsiaTheme="minorEastAsia"/>
          <w:sz w:val="22"/>
          <w:szCs w:val="22"/>
        </w:rPr>
        <w:t xml:space="preserve">, and it outside of Urban Growth Areas or other areas which support intensive development. </w:t>
      </w:r>
    </w:p>
    <w:p w14:paraId="578A3391" w14:textId="13BA9C34" w:rsidR="4D0C8215" w:rsidRDefault="4D0C8215" w:rsidP="296AF2B8">
      <w:pPr>
        <w:tabs>
          <w:tab w:val="left" w:pos="2865"/>
        </w:tabs>
        <w:rPr>
          <w:rFonts w:eastAsiaTheme="minorEastAsia"/>
        </w:rPr>
      </w:pPr>
      <w:r w:rsidRPr="296AF2B8">
        <w:rPr>
          <w:rFonts w:eastAsiaTheme="minorEastAsia"/>
        </w:rPr>
        <w:t>Thank you for the opportunity to review and comment on the proposed amendment. If you have any questions, please feel free to contact me.</w:t>
      </w:r>
    </w:p>
    <w:p w14:paraId="23C46485" w14:textId="7AE63978" w:rsidR="4D0C8215" w:rsidRDefault="4D0C8215" w:rsidP="296AF2B8">
      <w:pPr>
        <w:tabs>
          <w:tab w:val="left" w:pos="2865"/>
        </w:tabs>
      </w:pPr>
      <w:r w:rsidRPr="296AF2B8">
        <w:rPr>
          <w:rFonts w:eastAsiaTheme="minorEastAsia"/>
        </w:rPr>
        <w:t xml:space="preserve"> </w:t>
      </w:r>
    </w:p>
    <w:p w14:paraId="01D112B7" w14:textId="6E7CFCB3" w:rsidR="4D0C8215" w:rsidRDefault="4D0C8215" w:rsidP="296AF2B8">
      <w:pPr>
        <w:tabs>
          <w:tab w:val="left" w:pos="2865"/>
        </w:tabs>
      </w:pPr>
      <w:r w:rsidRPr="296AF2B8">
        <w:rPr>
          <w:rFonts w:eastAsiaTheme="minorEastAsia"/>
        </w:rPr>
        <w:t>Sincerely,</w:t>
      </w:r>
    </w:p>
    <w:p w14:paraId="029BA777" w14:textId="76328AFD" w:rsidR="4D0C8215" w:rsidRDefault="4D0C8215" w:rsidP="296AF2B8">
      <w:pPr>
        <w:tabs>
          <w:tab w:val="left" w:pos="2865"/>
        </w:tabs>
      </w:pPr>
      <w:r w:rsidRPr="296AF2B8">
        <w:rPr>
          <w:rFonts w:eastAsiaTheme="minorEastAsia"/>
        </w:rPr>
        <w:t xml:space="preserve"> </w:t>
      </w:r>
    </w:p>
    <w:p w14:paraId="373C76EC" w14:textId="13D6F89D" w:rsidR="4D0C8215" w:rsidRDefault="4D0C8215" w:rsidP="296AF2B8">
      <w:pPr>
        <w:tabs>
          <w:tab w:val="left" w:pos="2865"/>
        </w:tabs>
      </w:pPr>
      <w:r w:rsidRPr="296AF2B8">
        <w:rPr>
          <w:rFonts w:eastAsiaTheme="minorEastAsia"/>
        </w:rPr>
        <w:t xml:space="preserve"> </w:t>
      </w:r>
    </w:p>
    <w:p w14:paraId="1810A11B" w14:textId="11315D4C" w:rsidR="4D0C8215" w:rsidRDefault="4D0C8215" w:rsidP="296AF2B8">
      <w:pPr>
        <w:tabs>
          <w:tab w:val="left" w:pos="2865"/>
        </w:tabs>
      </w:pPr>
      <w:r w:rsidRPr="296AF2B8">
        <w:rPr>
          <w:rFonts w:eastAsiaTheme="minorEastAsia"/>
        </w:rPr>
        <w:t>________________________________________</w:t>
      </w:r>
    </w:p>
    <w:p w14:paraId="7D142465" w14:textId="679E9B8E" w:rsidR="4D0C8215" w:rsidRDefault="003D18D0" w:rsidP="296AF2B8">
      <w:pPr>
        <w:tabs>
          <w:tab w:val="left" w:pos="2865"/>
        </w:tabs>
      </w:pPr>
      <w:r>
        <w:rPr>
          <w:rFonts w:eastAsiaTheme="minorEastAsia"/>
        </w:rPr>
        <w:t xml:space="preserve">Joel </w:t>
      </w:r>
      <w:r w:rsidR="4D0C8215" w:rsidRPr="296AF2B8">
        <w:rPr>
          <w:rFonts w:eastAsiaTheme="minorEastAsia"/>
        </w:rPr>
        <w:t>Hansen, Chair</w:t>
      </w:r>
    </w:p>
    <w:p w14:paraId="1EDBBA05" w14:textId="2383900A" w:rsidR="4D0C8215" w:rsidRDefault="4D0C8215" w:rsidP="296AF2B8">
      <w:pPr>
        <w:tabs>
          <w:tab w:val="left" w:pos="2865"/>
        </w:tabs>
      </w:pPr>
      <w:r w:rsidRPr="296AF2B8">
        <w:rPr>
          <w:rFonts w:eastAsiaTheme="minorEastAsia"/>
        </w:rPr>
        <w:t xml:space="preserve"> </w:t>
      </w:r>
    </w:p>
    <w:p w14:paraId="15D1CBED" w14:textId="7FF64446" w:rsidR="4D0C8215" w:rsidRDefault="4D0C8215" w:rsidP="00EE0B82">
      <w:pPr>
        <w:tabs>
          <w:tab w:val="left" w:pos="1440"/>
        </w:tabs>
        <w:rPr>
          <w:rFonts w:eastAsiaTheme="minorEastAsia"/>
        </w:rPr>
      </w:pPr>
      <w:r w:rsidRPr="296AF2B8">
        <w:rPr>
          <w:rFonts w:eastAsiaTheme="minorEastAsia"/>
        </w:rPr>
        <w:t>Cc:</w:t>
      </w:r>
      <w:r w:rsidR="00EE0B82">
        <w:tab/>
      </w:r>
      <w:r w:rsidRPr="296AF2B8">
        <w:rPr>
          <w:rFonts w:eastAsiaTheme="minorEastAsia"/>
        </w:rPr>
        <w:t>Thurston County Planning Commission Members</w:t>
      </w:r>
      <w:r>
        <w:tab/>
      </w:r>
    </w:p>
    <w:p w14:paraId="17F401A1" w14:textId="0CB531A7" w:rsidR="4D0C8215" w:rsidRDefault="4D0C8215" w:rsidP="296AF2B8">
      <w:pPr>
        <w:tabs>
          <w:tab w:val="left" w:pos="2865"/>
        </w:tabs>
        <w:ind w:left="1440"/>
      </w:pPr>
      <w:r w:rsidRPr="296AF2B8">
        <w:rPr>
          <w:rFonts w:eastAsiaTheme="minorEastAsia"/>
        </w:rPr>
        <w:t>Leonard Hernandez, County Manager</w:t>
      </w:r>
    </w:p>
    <w:p w14:paraId="4F4BCF2C" w14:textId="4AC28FD2" w:rsidR="4D0C8215" w:rsidRDefault="00EE0B82" w:rsidP="00EE0B82">
      <w:pPr>
        <w:tabs>
          <w:tab w:val="left" w:pos="1440"/>
        </w:tabs>
      </w:pPr>
      <w:r>
        <w:rPr>
          <w:rFonts w:eastAsiaTheme="minorEastAsia"/>
        </w:rPr>
        <w:tab/>
      </w:r>
      <w:r w:rsidR="4D0C8215" w:rsidRPr="296AF2B8">
        <w:rPr>
          <w:rFonts w:eastAsiaTheme="minorEastAsia"/>
        </w:rPr>
        <w:t>Ashley Arai, CPED Director</w:t>
      </w:r>
    </w:p>
    <w:p w14:paraId="02054F4C" w14:textId="77400C4D" w:rsidR="4D0C8215" w:rsidRDefault="00EE0B82" w:rsidP="00EE0B82">
      <w:pPr>
        <w:tabs>
          <w:tab w:val="left" w:pos="1440"/>
        </w:tabs>
      </w:pPr>
      <w:r>
        <w:rPr>
          <w:rFonts w:eastAsiaTheme="minorEastAsia"/>
        </w:rPr>
        <w:tab/>
      </w:r>
      <w:r w:rsidR="4D0C8215" w:rsidRPr="296AF2B8">
        <w:rPr>
          <w:rFonts w:eastAsiaTheme="minorEastAsia"/>
        </w:rPr>
        <w:t xml:space="preserve">Travis Burns, </w:t>
      </w:r>
      <w:r w:rsidR="00C206CE">
        <w:rPr>
          <w:rFonts w:eastAsiaTheme="minorEastAsia"/>
        </w:rPr>
        <w:t xml:space="preserve">Senior </w:t>
      </w:r>
      <w:r w:rsidR="4D0C8215" w:rsidRPr="296AF2B8">
        <w:rPr>
          <w:rFonts w:eastAsiaTheme="minorEastAsia"/>
        </w:rPr>
        <w:t>Deputy Prosecuting Attorney</w:t>
      </w:r>
    </w:p>
    <w:p w14:paraId="79E52CA0" w14:textId="2B9FC54C" w:rsidR="296AF2B8" w:rsidRDefault="296AF2B8" w:rsidP="296AF2B8">
      <w:pPr>
        <w:tabs>
          <w:tab w:val="left" w:pos="2865"/>
        </w:tabs>
        <w:rPr>
          <w:rFonts w:eastAsiaTheme="minorEastAsia"/>
        </w:rPr>
      </w:pPr>
    </w:p>
    <w:p w14:paraId="7989BE17" w14:textId="57E033C7" w:rsidR="6133DD32" w:rsidRDefault="6133DD32" w:rsidP="6133DD32">
      <w:pPr>
        <w:tabs>
          <w:tab w:val="left" w:pos="2865"/>
        </w:tabs>
        <w:rPr>
          <w:rFonts w:eastAsiaTheme="minorEastAsia"/>
        </w:rPr>
      </w:pPr>
    </w:p>
    <w:p w14:paraId="3D0105B2" w14:textId="77777777" w:rsidR="00F61509" w:rsidRDefault="00F61509" w:rsidP="00CA54A1">
      <w:pPr>
        <w:tabs>
          <w:tab w:val="left" w:pos="2865"/>
        </w:tabs>
        <w:rPr>
          <w:rFonts w:ascii="Arial" w:hAnsi="Arial" w:cs="Arial"/>
        </w:rPr>
      </w:pPr>
    </w:p>
    <w:p w14:paraId="36D82D4E" w14:textId="77777777" w:rsidR="00F61509" w:rsidRDefault="00F61509" w:rsidP="00CA54A1">
      <w:pPr>
        <w:tabs>
          <w:tab w:val="left" w:pos="2865"/>
        </w:tabs>
        <w:rPr>
          <w:rFonts w:ascii="Arial" w:hAnsi="Arial" w:cs="Arial"/>
        </w:rPr>
      </w:pPr>
    </w:p>
    <w:p w14:paraId="5215168A" w14:textId="77777777" w:rsidR="00F61509" w:rsidRDefault="00F61509" w:rsidP="00CA54A1">
      <w:pPr>
        <w:tabs>
          <w:tab w:val="left" w:pos="2865"/>
        </w:tabs>
        <w:rPr>
          <w:rFonts w:ascii="Arial" w:hAnsi="Arial" w:cs="Arial"/>
        </w:rPr>
      </w:pPr>
    </w:p>
    <w:p w14:paraId="5D843B25" w14:textId="77777777" w:rsidR="00F61509" w:rsidRDefault="00F61509" w:rsidP="00CA54A1">
      <w:pPr>
        <w:tabs>
          <w:tab w:val="left" w:pos="2865"/>
        </w:tabs>
        <w:rPr>
          <w:rFonts w:ascii="Arial" w:hAnsi="Arial" w:cs="Arial"/>
        </w:rPr>
      </w:pPr>
    </w:p>
    <w:p w14:paraId="40DFF4E4" w14:textId="77777777" w:rsidR="00F61509" w:rsidRDefault="00F61509" w:rsidP="00CA54A1">
      <w:pPr>
        <w:tabs>
          <w:tab w:val="left" w:pos="2865"/>
        </w:tabs>
        <w:rPr>
          <w:rFonts w:ascii="Arial" w:hAnsi="Arial" w:cs="Arial"/>
        </w:rPr>
      </w:pPr>
    </w:p>
    <w:p w14:paraId="4AAAA453" w14:textId="77777777" w:rsidR="00F61509" w:rsidRDefault="00F61509" w:rsidP="00CA54A1">
      <w:pPr>
        <w:tabs>
          <w:tab w:val="left" w:pos="2865"/>
        </w:tabs>
        <w:rPr>
          <w:rFonts w:ascii="Arial" w:hAnsi="Arial" w:cs="Arial"/>
        </w:rPr>
      </w:pPr>
    </w:p>
    <w:p w14:paraId="2C2D209A" w14:textId="77777777" w:rsidR="00F61509" w:rsidRDefault="00F61509" w:rsidP="00CA54A1">
      <w:pPr>
        <w:tabs>
          <w:tab w:val="left" w:pos="2865"/>
        </w:tabs>
        <w:rPr>
          <w:rFonts w:ascii="Arial" w:hAnsi="Arial" w:cs="Arial"/>
        </w:rPr>
      </w:pPr>
    </w:p>
    <w:p w14:paraId="28F911C9" w14:textId="77777777" w:rsidR="00F61509" w:rsidRDefault="00F61509" w:rsidP="00CA54A1">
      <w:pPr>
        <w:tabs>
          <w:tab w:val="left" w:pos="2865"/>
        </w:tabs>
        <w:rPr>
          <w:rFonts w:ascii="Arial" w:hAnsi="Arial" w:cs="Arial"/>
        </w:rPr>
      </w:pPr>
    </w:p>
    <w:p w14:paraId="129EE9AC" w14:textId="77777777" w:rsidR="00F61509" w:rsidRDefault="00F61509" w:rsidP="00CA54A1">
      <w:pPr>
        <w:tabs>
          <w:tab w:val="left" w:pos="2865"/>
        </w:tabs>
        <w:rPr>
          <w:rFonts w:ascii="Arial" w:hAnsi="Arial" w:cs="Arial"/>
        </w:rPr>
      </w:pPr>
    </w:p>
    <w:p w14:paraId="76758ED4" w14:textId="77777777" w:rsidR="00F61509" w:rsidRDefault="00F61509" w:rsidP="00CA54A1">
      <w:pPr>
        <w:tabs>
          <w:tab w:val="left" w:pos="2865"/>
        </w:tabs>
        <w:rPr>
          <w:rFonts w:ascii="Arial" w:hAnsi="Arial" w:cs="Arial"/>
        </w:rPr>
      </w:pPr>
    </w:p>
    <w:p w14:paraId="5CC7CFF4" w14:textId="77777777" w:rsidR="00F61509" w:rsidRDefault="00F61509" w:rsidP="00CA54A1">
      <w:pPr>
        <w:tabs>
          <w:tab w:val="left" w:pos="2865"/>
        </w:tabs>
        <w:rPr>
          <w:rFonts w:ascii="Arial" w:hAnsi="Arial" w:cs="Arial"/>
        </w:rPr>
      </w:pPr>
    </w:p>
    <w:p w14:paraId="209FDC8E" w14:textId="77777777" w:rsidR="00F61509" w:rsidRDefault="00F61509" w:rsidP="00CA54A1">
      <w:pPr>
        <w:tabs>
          <w:tab w:val="left" w:pos="2865"/>
        </w:tabs>
        <w:rPr>
          <w:rFonts w:ascii="Arial" w:hAnsi="Arial" w:cs="Arial"/>
        </w:rPr>
      </w:pPr>
    </w:p>
    <w:p w14:paraId="4AA44AF2" w14:textId="77777777" w:rsidR="00F61509" w:rsidRDefault="00F61509" w:rsidP="00CA54A1">
      <w:pPr>
        <w:tabs>
          <w:tab w:val="left" w:pos="2865"/>
        </w:tabs>
        <w:rPr>
          <w:rFonts w:ascii="Arial" w:hAnsi="Arial" w:cs="Arial"/>
        </w:rPr>
      </w:pPr>
    </w:p>
    <w:p w14:paraId="647343D0" w14:textId="77777777" w:rsidR="00F61509" w:rsidRDefault="00F61509" w:rsidP="00CA54A1">
      <w:pPr>
        <w:tabs>
          <w:tab w:val="left" w:pos="2865"/>
        </w:tabs>
        <w:rPr>
          <w:rFonts w:ascii="Arial" w:hAnsi="Arial" w:cs="Arial"/>
        </w:rPr>
      </w:pPr>
    </w:p>
    <w:p w14:paraId="7C212FC9" w14:textId="77777777" w:rsidR="00F61509" w:rsidRDefault="00F61509" w:rsidP="00CA54A1">
      <w:pPr>
        <w:tabs>
          <w:tab w:val="left" w:pos="2865"/>
        </w:tabs>
        <w:rPr>
          <w:rFonts w:ascii="Arial" w:hAnsi="Arial" w:cs="Arial"/>
        </w:rPr>
      </w:pPr>
    </w:p>
    <w:p w14:paraId="678201CC" w14:textId="77777777" w:rsidR="00F61509" w:rsidRDefault="00F61509" w:rsidP="00CA54A1">
      <w:pPr>
        <w:tabs>
          <w:tab w:val="left" w:pos="2865"/>
        </w:tabs>
        <w:rPr>
          <w:rFonts w:ascii="Arial" w:hAnsi="Arial" w:cs="Arial"/>
        </w:rPr>
      </w:pPr>
    </w:p>
    <w:p w14:paraId="6C666FE7" w14:textId="77777777" w:rsidR="00F61509" w:rsidRDefault="00F61509" w:rsidP="00CA54A1">
      <w:pPr>
        <w:tabs>
          <w:tab w:val="left" w:pos="2865"/>
        </w:tabs>
        <w:rPr>
          <w:rFonts w:ascii="Arial" w:hAnsi="Arial" w:cs="Arial"/>
        </w:rPr>
      </w:pPr>
    </w:p>
    <w:p w14:paraId="16639B51" w14:textId="77777777" w:rsidR="00F61509" w:rsidRDefault="00F61509" w:rsidP="00CA54A1">
      <w:pPr>
        <w:tabs>
          <w:tab w:val="left" w:pos="2865"/>
        </w:tabs>
        <w:rPr>
          <w:rFonts w:ascii="Arial" w:hAnsi="Arial" w:cs="Arial"/>
        </w:rPr>
      </w:pPr>
    </w:p>
    <w:p w14:paraId="25B90A34" w14:textId="77777777" w:rsidR="00F61509" w:rsidRPr="00CA54A1" w:rsidRDefault="00F61509" w:rsidP="00CA54A1">
      <w:pPr>
        <w:tabs>
          <w:tab w:val="left" w:pos="2865"/>
        </w:tabs>
        <w:rPr>
          <w:rFonts w:ascii="Arial" w:hAnsi="Arial" w:cs="Arial"/>
        </w:rPr>
      </w:pPr>
    </w:p>
    <w:sectPr w:rsidR="00F61509" w:rsidRPr="00CA54A1" w:rsidSect="000508F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CD1CF" w14:textId="77777777" w:rsidR="004123D0" w:rsidRDefault="004123D0" w:rsidP="005347F9">
      <w:pPr>
        <w:spacing w:after="0" w:line="240" w:lineRule="auto"/>
      </w:pPr>
      <w:r>
        <w:separator/>
      </w:r>
    </w:p>
  </w:endnote>
  <w:endnote w:type="continuationSeparator" w:id="0">
    <w:p w14:paraId="6F4708F5" w14:textId="77777777" w:rsidR="004123D0" w:rsidRDefault="004123D0" w:rsidP="005347F9">
      <w:pPr>
        <w:spacing w:after="0" w:line="240" w:lineRule="auto"/>
      </w:pPr>
      <w:r>
        <w:continuationSeparator/>
      </w:r>
    </w:p>
  </w:endnote>
  <w:endnote w:type="continuationNotice" w:id="1">
    <w:p w14:paraId="54FE1881" w14:textId="77777777" w:rsidR="00562B91" w:rsidRDefault="00562B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CA939" w14:textId="24133C31" w:rsidR="00FB3993" w:rsidRPr="00FB3993" w:rsidRDefault="00110CDC" w:rsidP="00FB3993">
    <w:pPr>
      <w:pStyle w:val="Footer"/>
      <w:jc w:val="center"/>
      <w:rPr>
        <w:rFonts w:ascii="Segoe UI" w:hAnsi="Segoe UI" w:cs="Segoe UI"/>
        <w:color w:val="000080"/>
        <w:sz w:val="16"/>
        <w:szCs w:val="16"/>
      </w:rPr>
    </w:pPr>
    <w:r w:rsidRPr="00AD4D48">
      <w:rPr>
        <w:rFonts w:ascii="Segoe UI" w:hAnsi="Segoe UI" w:cs="Segoe UI"/>
        <w:color w:val="000080"/>
        <w:sz w:val="16"/>
        <w:szCs w:val="16"/>
      </w:rPr>
      <w:t xml:space="preserve">Page </w:t>
    </w:r>
    <w:r w:rsidRPr="00AD4D48">
      <w:rPr>
        <w:rFonts w:ascii="Segoe UI" w:hAnsi="Segoe UI" w:cs="Segoe UI"/>
        <w:color w:val="000080"/>
        <w:sz w:val="16"/>
        <w:szCs w:val="16"/>
      </w:rPr>
      <w:fldChar w:fldCharType="begin"/>
    </w:r>
    <w:r w:rsidRPr="00AD4D48">
      <w:rPr>
        <w:rFonts w:ascii="Segoe UI" w:hAnsi="Segoe UI" w:cs="Segoe UI"/>
        <w:color w:val="000080"/>
        <w:sz w:val="16"/>
        <w:szCs w:val="16"/>
      </w:rPr>
      <w:instrText xml:space="preserve"> PAGE </w:instrText>
    </w:r>
    <w:r w:rsidRPr="00AD4D48">
      <w:rPr>
        <w:rFonts w:ascii="Segoe UI" w:hAnsi="Segoe UI" w:cs="Segoe UI"/>
        <w:color w:val="000080"/>
        <w:sz w:val="16"/>
        <w:szCs w:val="16"/>
      </w:rPr>
      <w:fldChar w:fldCharType="separate"/>
    </w:r>
    <w:r>
      <w:rPr>
        <w:rFonts w:ascii="Segoe UI" w:hAnsi="Segoe UI" w:cs="Segoe UI"/>
        <w:color w:val="000080"/>
        <w:sz w:val="16"/>
        <w:szCs w:val="16"/>
      </w:rPr>
      <w:t>2</w:t>
    </w:r>
    <w:r w:rsidRPr="00AD4D48">
      <w:rPr>
        <w:rFonts w:ascii="Segoe UI" w:hAnsi="Segoe UI" w:cs="Segoe UI"/>
        <w:color w:val="000080"/>
        <w:sz w:val="16"/>
        <w:szCs w:val="16"/>
      </w:rPr>
      <w:fldChar w:fldCharType="end"/>
    </w:r>
    <w:r w:rsidRPr="00AD4D48">
      <w:rPr>
        <w:rFonts w:ascii="Segoe UI" w:hAnsi="Segoe UI" w:cs="Segoe UI"/>
        <w:color w:val="000080"/>
        <w:sz w:val="16"/>
        <w:szCs w:val="16"/>
      </w:rPr>
      <w:t xml:space="preserve"> of </w:t>
    </w:r>
    <w:r w:rsidRPr="00AD4D48">
      <w:rPr>
        <w:rFonts w:ascii="Segoe UI" w:hAnsi="Segoe UI" w:cs="Segoe UI"/>
        <w:color w:val="000080"/>
        <w:sz w:val="16"/>
        <w:szCs w:val="16"/>
      </w:rPr>
      <w:fldChar w:fldCharType="begin"/>
    </w:r>
    <w:r w:rsidRPr="00AD4D48">
      <w:rPr>
        <w:rFonts w:ascii="Segoe UI" w:hAnsi="Segoe UI" w:cs="Segoe UI"/>
        <w:color w:val="000080"/>
        <w:sz w:val="16"/>
        <w:szCs w:val="16"/>
      </w:rPr>
      <w:instrText xml:space="preserve"> NUMPAGES  </w:instrText>
    </w:r>
    <w:r w:rsidRPr="00AD4D48">
      <w:rPr>
        <w:rFonts w:ascii="Segoe UI" w:hAnsi="Segoe UI" w:cs="Segoe UI"/>
        <w:color w:val="000080"/>
        <w:sz w:val="16"/>
        <w:szCs w:val="16"/>
      </w:rPr>
      <w:fldChar w:fldCharType="separate"/>
    </w:r>
    <w:r>
      <w:rPr>
        <w:rFonts w:ascii="Segoe UI" w:hAnsi="Segoe UI" w:cs="Segoe UI"/>
        <w:color w:val="000080"/>
        <w:sz w:val="16"/>
        <w:szCs w:val="16"/>
      </w:rPr>
      <w:t>2</w:t>
    </w:r>
    <w:r w:rsidRPr="00AD4D48">
      <w:rPr>
        <w:rFonts w:ascii="Segoe UI" w:hAnsi="Segoe UI" w:cs="Segoe UI"/>
        <w:color w:val="00008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9053" w14:textId="77777777" w:rsidR="007D1CA1" w:rsidRPr="00AD4D48" w:rsidRDefault="007D1CA1" w:rsidP="007D1CA1">
    <w:pPr>
      <w:pStyle w:val="Footer"/>
      <w:jc w:val="center"/>
      <w:rPr>
        <w:rFonts w:ascii="Segoe UI" w:hAnsi="Segoe UI" w:cs="Segoe UI"/>
        <w:color w:val="000080"/>
        <w:sz w:val="16"/>
        <w:szCs w:val="16"/>
      </w:rPr>
    </w:pPr>
    <w:r w:rsidRPr="00AD4D48">
      <w:rPr>
        <w:rFonts w:ascii="Segoe UI" w:hAnsi="Segoe UI" w:cs="Segoe UI"/>
        <w:color w:val="000080"/>
        <w:sz w:val="16"/>
        <w:szCs w:val="16"/>
      </w:rPr>
      <w:t xml:space="preserve">Page </w:t>
    </w:r>
    <w:r w:rsidRPr="00AD4D48">
      <w:rPr>
        <w:rFonts w:ascii="Segoe UI" w:hAnsi="Segoe UI" w:cs="Segoe UI"/>
        <w:color w:val="000080"/>
        <w:sz w:val="16"/>
        <w:szCs w:val="16"/>
      </w:rPr>
      <w:fldChar w:fldCharType="begin"/>
    </w:r>
    <w:r w:rsidRPr="00AD4D48">
      <w:rPr>
        <w:rFonts w:ascii="Segoe UI" w:hAnsi="Segoe UI" w:cs="Segoe UI"/>
        <w:color w:val="000080"/>
        <w:sz w:val="16"/>
        <w:szCs w:val="16"/>
      </w:rPr>
      <w:instrText xml:space="preserve"> PAGE </w:instrText>
    </w:r>
    <w:r w:rsidRPr="00AD4D48">
      <w:rPr>
        <w:rFonts w:ascii="Segoe UI" w:hAnsi="Segoe UI" w:cs="Segoe UI"/>
        <w:color w:val="000080"/>
        <w:sz w:val="16"/>
        <w:szCs w:val="16"/>
      </w:rPr>
      <w:fldChar w:fldCharType="separate"/>
    </w:r>
    <w:r>
      <w:rPr>
        <w:rFonts w:ascii="Segoe UI" w:hAnsi="Segoe UI" w:cs="Segoe UI"/>
        <w:color w:val="000080"/>
        <w:sz w:val="16"/>
        <w:szCs w:val="16"/>
      </w:rPr>
      <w:t>1</w:t>
    </w:r>
    <w:r w:rsidRPr="00AD4D48">
      <w:rPr>
        <w:rFonts w:ascii="Segoe UI" w:hAnsi="Segoe UI" w:cs="Segoe UI"/>
        <w:color w:val="000080"/>
        <w:sz w:val="16"/>
        <w:szCs w:val="16"/>
      </w:rPr>
      <w:fldChar w:fldCharType="end"/>
    </w:r>
    <w:r w:rsidRPr="00AD4D48">
      <w:rPr>
        <w:rFonts w:ascii="Segoe UI" w:hAnsi="Segoe UI" w:cs="Segoe UI"/>
        <w:color w:val="000080"/>
        <w:sz w:val="16"/>
        <w:szCs w:val="16"/>
      </w:rPr>
      <w:t xml:space="preserve"> of </w:t>
    </w:r>
    <w:r w:rsidRPr="00AD4D48">
      <w:rPr>
        <w:rFonts w:ascii="Segoe UI" w:hAnsi="Segoe UI" w:cs="Segoe UI"/>
        <w:color w:val="000080"/>
        <w:sz w:val="16"/>
        <w:szCs w:val="16"/>
      </w:rPr>
      <w:fldChar w:fldCharType="begin"/>
    </w:r>
    <w:r w:rsidRPr="00AD4D48">
      <w:rPr>
        <w:rFonts w:ascii="Segoe UI" w:hAnsi="Segoe UI" w:cs="Segoe UI"/>
        <w:color w:val="000080"/>
        <w:sz w:val="16"/>
        <w:szCs w:val="16"/>
      </w:rPr>
      <w:instrText xml:space="preserve"> NUMPAGES  </w:instrText>
    </w:r>
    <w:r w:rsidRPr="00AD4D48">
      <w:rPr>
        <w:rFonts w:ascii="Segoe UI" w:hAnsi="Segoe UI" w:cs="Segoe UI"/>
        <w:color w:val="000080"/>
        <w:sz w:val="16"/>
        <w:szCs w:val="16"/>
      </w:rPr>
      <w:fldChar w:fldCharType="separate"/>
    </w:r>
    <w:r>
      <w:rPr>
        <w:rFonts w:ascii="Segoe UI" w:hAnsi="Segoe UI" w:cs="Segoe UI"/>
        <w:color w:val="000080"/>
        <w:sz w:val="16"/>
        <w:szCs w:val="16"/>
      </w:rPr>
      <w:t>2</w:t>
    </w:r>
    <w:r w:rsidRPr="00AD4D48">
      <w:rPr>
        <w:rFonts w:ascii="Segoe UI" w:hAnsi="Segoe UI" w:cs="Segoe UI"/>
        <w:color w:val="000080"/>
        <w:sz w:val="16"/>
        <w:szCs w:val="16"/>
      </w:rPr>
      <w:fldChar w:fldCharType="end"/>
    </w:r>
  </w:p>
  <w:p w14:paraId="0CE98564" w14:textId="77777777" w:rsidR="007D1CA1" w:rsidRPr="005347F9" w:rsidRDefault="007D1CA1" w:rsidP="007D1CA1">
    <w:pPr>
      <w:pStyle w:val="Footer"/>
      <w:jc w:val="center"/>
      <w:rPr>
        <w:rFonts w:ascii="Segoe UI" w:hAnsi="Segoe UI" w:cs="Segoe UI"/>
        <w:b/>
        <w:bCs/>
        <w:color w:val="000080"/>
        <w:sz w:val="16"/>
        <w:szCs w:val="16"/>
      </w:rPr>
    </w:pPr>
    <w:r w:rsidRPr="005347F9">
      <w:rPr>
        <w:rFonts w:ascii="Segoe UI" w:hAnsi="Segoe UI" w:cs="Segoe UI"/>
        <w:b/>
        <w:bCs/>
        <w:color w:val="000080"/>
        <w:sz w:val="16"/>
        <w:szCs w:val="16"/>
      </w:rPr>
      <w:t>Thurston Board of County Commissioners</w:t>
    </w:r>
  </w:p>
  <w:p w14:paraId="4B833C0D" w14:textId="07A91CCC" w:rsidR="000508F0" w:rsidRPr="007D1CA1" w:rsidRDefault="007D1CA1" w:rsidP="007D1CA1">
    <w:pPr>
      <w:pStyle w:val="Footer"/>
      <w:jc w:val="center"/>
      <w:rPr>
        <w:rFonts w:ascii="Segoe UI" w:hAnsi="Segoe UI" w:cs="Segoe UI"/>
        <w:color w:val="000080"/>
        <w:sz w:val="16"/>
        <w:szCs w:val="16"/>
      </w:rPr>
    </w:pPr>
    <w:r>
      <w:rPr>
        <w:rFonts w:ascii="Segoe UI" w:hAnsi="Segoe UI" w:cs="Segoe UI"/>
        <w:color w:val="000080"/>
        <w:sz w:val="16"/>
        <w:szCs w:val="16"/>
      </w:rPr>
      <w:t>Carolina Mejia, District 1 | Rachel Grant, District 2 | Tye Menser, District 3 | Wayne Fournier, District 4 | Emily Clouse, District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67A7E" w14:textId="77777777" w:rsidR="004123D0" w:rsidRDefault="004123D0" w:rsidP="005347F9">
      <w:pPr>
        <w:spacing w:after="0" w:line="240" w:lineRule="auto"/>
      </w:pPr>
      <w:r>
        <w:separator/>
      </w:r>
    </w:p>
  </w:footnote>
  <w:footnote w:type="continuationSeparator" w:id="0">
    <w:p w14:paraId="0204CB3F" w14:textId="77777777" w:rsidR="004123D0" w:rsidRDefault="004123D0" w:rsidP="005347F9">
      <w:pPr>
        <w:spacing w:after="0" w:line="240" w:lineRule="auto"/>
      </w:pPr>
      <w:r>
        <w:continuationSeparator/>
      </w:r>
    </w:p>
  </w:footnote>
  <w:footnote w:type="continuationNotice" w:id="1">
    <w:p w14:paraId="3397D24D" w14:textId="77777777" w:rsidR="00562B91" w:rsidRDefault="00562B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CD022" w14:textId="42D852CC" w:rsidR="001A1B26" w:rsidRPr="00CC38FE" w:rsidRDefault="00014985" w:rsidP="001A1B26">
    <w:pPr>
      <w:pStyle w:val="Header"/>
      <w:rPr>
        <w:color w:val="000080"/>
      </w:rPr>
    </w:pPr>
    <w:r>
      <w:rPr>
        <w:color w:val="000080"/>
      </w:rPr>
      <w:t>September 22</w:t>
    </w:r>
    <w:r w:rsidR="001A1B26" w:rsidRPr="00CC38FE">
      <w:rPr>
        <w:color w:val="000080"/>
      </w:rPr>
      <w:t xml:space="preserve">, 2025 </w:t>
    </w:r>
  </w:p>
  <w:p w14:paraId="747574F4" w14:textId="6125F8B9" w:rsidR="00F61509" w:rsidRPr="000508F0" w:rsidRDefault="00F61509" w:rsidP="000508F0">
    <w:pPr>
      <w:pStyle w:val="Header"/>
    </w:pPr>
  </w:p>
  <w:p w14:paraId="684832F8" w14:textId="77777777" w:rsidR="00FB3993" w:rsidRDefault="00FB39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10" w:type="dxa"/>
      <w:tblInd w:w="-720" w:type="dxa"/>
      <w:tblLook w:val="04A0" w:firstRow="1" w:lastRow="0" w:firstColumn="1" w:lastColumn="0" w:noHBand="0" w:noVBand="1"/>
    </w:tblPr>
    <w:tblGrid>
      <w:gridCol w:w="4190"/>
      <w:gridCol w:w="6520"/>
    </w:tblGrid>
    <w:tr w:rsidR="000508F0" w14:paraId="21D0DDA1" w14:textId="77777777" w:rsidTr="00C50609">
      <w:trPr>
        <w:trHeight w:val="1665"/>
      </w:trPr>
      <w:tc>
        <w:tcPr>
          <w:tcW w:w="4190" w:type="dxa"/>
          <w:tcBorders>
            <w:top w:val="nil"/>
            <w:left w:val="nil"/>
            <w:bottom w:val="single" w:sz="12" w:space="0" w:color="000080"/>
            <w:right w:val="nil"/>
          </w:tcBorders>
        </w:tcPr>
        <w:p w14:paraId="04A39079" w14:textId="77777777" w:rsidR="000508F0" w:rsidRPr="005347F9" w:rsidRDefault="000508F0" w:rsidP="000508F0">
          <w:pPr>
            <w:pStyle w:val="Header"/>
            <w:rPr>
              <w:sz w:val="4"/>
              <w:szCs w:val="4"/>
            </w:rPr>
          </w:pPr>
          <w:r w:rsidRPr="005347F9">
            <w:rPr>
              <w:noProof/>
              <w:sz w:val="4"/>
              <w:szCs w:val="4"/>
            </w:rPr>
            <w:drawing>
              <wp:inline distT="0" distB="0" distL="0" distR="0" wp14:anchorId="0964013D" wp14:editId="5C9041F9">
                <wp:extent cx="1450828" cy="1057275"/>
                <wp:effectExtent l="0" t="0" r="0" b="0"/>
                <wp:docPr id="1621845847" name="Picture 1" descr="Diagram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959243" name="Picture 1" descr="Diagram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4051" cy="10669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1EA2BF4" w14:textId="77777777" w:rsidR="000508F0" w:rsidRPr="005347F9" w:rsidRDefault="000508F0" w:rsidP="000508F0">
          <w:pPr>
            <w:pStyle w:val="Header"/>
            <w:rPr>
              <w:sz w:val="4"/>
              <w:szCs w:val="4"/>
            </w:rPr>
          </w:pPr>
        </w:p>
      </w:tc>
      <w:tc>
        <w:tcPr>
          <w:tcW w:w="6520" w:type="dxa"/>
          <w:tcBorders>
            <w:top w:val="nil"/>
            <w:left w:val="nil"/>
            <w:bottom w:val="single" w:sz="12" w:space="0" w:color="000080"/>
            <w:right w:val="nil"/>
          </w:tcBorders>
          <w:vAlign w:val="bottom"/>
        </w:tcPr>
        <w:p w14:paraId="5FA4F9BE" w14:textId="77777777" w:rsidR="000508F0" w:rsidRDefault="000508F0" w:rsidP="000508F0">
          <w:pPr>
            <w:pStyle w:val="Header"/>
            <w:jc w:val="right"/>
            <w:rPr>
              <w:rFonts w:ascii="Garamond" w:hAnsi="Garamond" w:cs="Tahoma"/>
              <w:b/>
              <w:bCs/>
              <w:color w:val="000080"/>
              <w:sz w:val="24"/>
              <w:szCs w:val="24"/>
            </w:rPr>
          </w:pPr>
          <w:r w:rsidRPr="005347F9">
            <w:rPr>
              <w:rFonts w:ascii="Garamond" w:hAnsi="Garamond" w:cs="Tahoma"/>
              <w:b/>
              <w:bCs/>
              <w:color w:val="000080"/>
              <w:sz w:val="24"/>
              <w:szCs w:val="24"/>
            </w:rPr>
            <w:t>COMMUNITY PLANNING &amp;</w:t>
          </w:r>
          <w:r w:rsidRPr="005347F9">
            <w:rPr>
              <w:rFonts w:ascii="Garamond" w:hAnsi="Garamond" w:cs="Tahoma"/>
              <w:b/>
              <w:bCs/>
              <w:color w:val="000080"/>
              <w:sz w:val="24"/>
              <w:szCs w:val="24"/>
            </w:rPr>
            <w:br/>
            <w:t>ECONOMIC DEVELOPMENT</w:t>
          </w:r>
        </w:p>
        <w:p w14:paraId="570DE083" w14:textId="77777777" w:rsidR="000508F0" w:rsidRDefault="000508F0" w:rsidP="000508F0">
          <w:pPr>
            <w:pStyle w:val="Header"/>
            <w:jc w:val="right"/>
            <w:rPr>
              <w:rFonts w:ascii="Segoe UI" w:hAnsi="Segoe UI" w:cs="Segoe UI"/>
              <w:color w:val="000080"/>
              <w:sz w:val="16"/>
              <w:szCs w:val="16"/>
            </w:rPr>
          </w:pPr>
          <w:r>
            <w:rPr>
              <w:rFonts w:ascii="Segoe UI" w:hAnsi="Segoe UI" w:cs="Segoe UI"/>
              <w:color w:val="000080"/>
              <w:sz w:val="16"/>
              <w:szCs w:val="16"/>
            </w:rPr>
            <w:t>3000 Pacific Ave SE, Olympia, WA 98501</w:t>
          </w:r>
        </w:p>
        <w:p w14:paraId="4A6AF069" w14:textId="77777777" w:rsidR="000508F0" w:rsidRDefault="000508F0" w:rsidP="000508F0">
          <w:pPr>
            <w:pStyle w:val="Header"/>
            <w:jc w:val="right"/>
            <w:rPr>
              <w:rFonts w:ascii="Segoe UI" w:hAnsi="Segoe UI" w:cs="Segoe UI"/>
              <w:color w:val="000080"/>
              <w:sz w:val="16"/>
              <w:szCs w:val="16"/>
            </w:rPr>
          </w:pPr>
          <w:r>
            <w:rPr>
              <w:rFonts w:ascii="Segoe UI" w:hAnsi="Segoe UI" w:cs="Segoe UI"/>
              <w:color w:val="000080"/>
              <w:sz w:val="16"/>
              <w:szCs w:val="16"/>
            </w:rPr>
            <w:t>TTY/TDD call 711 or 1-800-833-6388</w:t>
          </w:r>
        </w:p>
        <w:p w14:paraId="0395B86D" w14:textId="77777777" w:rsidR="000508F0" w:rsidRPr="005347F9" w:rsidRDefault="000508F0" w:rsidP="000508F0">
          <w:pPr>
            <w:pStyle w:val="Header"/>
            <w:jc w:val="right"/>
            <w:rPr>
              <w:rFonts w:ascii="Segoe UI" w:hAnsi="Segoe UI" w:cs="Segoe UI"/>
              <w:color w:val="000080"/>
              <w:sz w:val="16"/>
              <w:szCs w:val="16"/>
            </w:rPr>
          </w:pPr>
          <w:r>
            <w:rPr>
              <w:rFonts w:ascii="Segoe UI" w:hAnsi="Segoe UI" w:cs="Segoe UI"/>
              <w:color w:val="000080"/>
              <w:sz w:val="16"/>
              <w:szCs w:val="16"/>
            </w:rPr>
            <w:t>Website: ThurstonCPED.org</w:t>
          </w:r>
        </w:p>
      </w:tc>
    </w:tr>
    <w:tr w:rsidR="000508F0" w14:paraId="7E0B0FA4" w14:textId="77777777" w:rsidTr="00C50609">
      <w:tc>
        <w:tcPr>
          <w:tcW w:w="4190" w:type="dxa"/>
          <w:tcBorders>
            <w:top w:val="single" w:sz="12" w:space="0" w:color="000080"/>
            <w:left w:val="nil"/>
            <w:bottom w:val="nil"/>
            <w:right w:val="nil"/>
          </w:tcBorders>
        </w:tcPr>
        <w:p w14:paraId="64D32D85" w14:textId="77777777" w:rsidR="000508F0" w:rsidRPr="005347F9" w:rsidRDefault="000508F0" w:rsidP="000508F0">
          <w:pPr>
            <w:pStyle w:val="Header"/>
            <w:rPr>
              <w:rFonts w:ascii="Garamond" w:hAnsi="Garamond"/>
              <w:b/>
              <w:bCs/>
              <w:color w:val="000080"/>
            </w:rPr>
          </w:pPr>
          <w:r>
            <w:rPr>
              <w:rFonts w:ascii="Garamond" w:hAnsi="Garamond"/>
              <w:b/>
              <w:bCs/>
              <w:color w:val="000080"/>
            </w:rPr>
            <w:t>Creating Solutions for Our Future</w:t>
          </w:r>
        </w:p>
      </w:tc>
      <w:tc>
        <w:tcPr>
          <w:tcW w:w="6520" w:type="dxa"/>
          <w:tcBorders>
            <w:top w:val="single" w:sz="12" w:space="0" w:color="000080"/>
            <w:left w:val="nil"/>
            <w:bottom w:val="nil"/>
            <w:right w:val="nil"/>
          </w:tcBorders>
        </w:tcPr>
        <w:p w14:paraId="148644D3" w14:textId="77777777" w:rsidR="000508F0" w:rsidRPr="005347F9" w:rsidRDefault="000508F0" w:rsidP="000508F0">
          <w:pPr>
            <w:pStyle w:val="Header"/>
            <w:jc w:val="right"/>
            <w:rPr>
              <w:rFonts w:ascii="Garamond" w:hAnsi="Garamond"/>
              <w:b/>
              <w:bCs/>
              <w:color w:val="000080"/>
            </w:rPr>
          </w:pPr>
          <w:r>
            <w:rPr>
              <w:rFonts w:ascii="Garamond" w:hAnsi="Garamond"/>
              <w:b/>
              <w:bCs/>
              <w:color w:val="000080"/>
            </w:rPr>
            <w:t>Ashley Arai, Director</w:t>
          </w:r>
        </w:p>
      </w:tc>
    </w:tr>
  </w:tbl>
  <w:p w14:paraId="00D5E701" w14:textId="77777777" w:rsidR="00FB3993" w:rsidRDefault="00FB3993" w:rsidP="00125F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95F46"/>
    <w:multiLevelType w:val="hybridMultilevel"/>
    <w:tmpl w:val="B13A9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15D8D"/>
    <w:multiLevelType w:val="hybridMultilevel"/>
    <w:tmpl w:val="DE74AE32"/>
    <w:lvl w:ilvl="0" w:tplc="64F4819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74093">
    <w:abstractNumId w:val="0"/>
  </w:num>
  <w:num w:numId="2" w16cid:durableId="1852065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7F9"/>
    <w:rsid w:val="00004EBB"/>
    <w:rsid w:val="00013A48"/>
    <w:rsid w:val="00014985"/>
    <w:rsid w:val="000204B8"/>
    <w:rsid w:val="00031E76"/>
    <w:rsid w:val="000508F0"/>
    <w:rsid w:val="000821BC"/>
    <w:rsid w:val="000E4935"/>
    <w:rsid w:val="00110CDC"/>
    <w:rsid w:val="00123C33"/>
    <w:rsid w:val="00125F7E"/>
    <w:rsid w:val="001304FD"/>
    <w:rsid w:val="001A1B26"/>
    <w:rsid w:val="001F0352"/>
    <w:rsid w:val="001F3CC7"/>
    <w:rsid w:val="00215E65"/>
    <w:rsid w:val="002474C3"/>
    <w:rsid w:val="00262458"/>
    <w:rsid w:val="002B2D24"/>
    <w:rsid w:val="002C1ABB"/>
    <w:rsid w:val="002D2FAC"/>
    <w:rsid w:val="003159B7"/>
    <w:rsid w:val="003177FB"/>
    <w:rsid w:val="0035641E"/>
    <w:rsid w:val="00381B8A"/>
    <w:rsid w:val="003D18D0"/>
    <w:rsid w:val="003D7862"/>
    <w:rsid w:val="003E648F"/>
    <w:rsid w:val="004123D0"/>
    <w:rsid w:val="00487341"/>
    <w:rsid w:val="004A1ECA"/>
    <w:rsid w:val="004D7A68"/>
    <w:rsid w:val="00514204"/>
    <w:rsid w:val="005347F9"/>
    <w:rsid w:val="00562B91"/>
    <w:rsid w:val="00587EA5"/>
    <w:rsid w:val="005B554E"/>
    <w:rsid w:val="005C0FB8"/>
    <w:rsid w:val="005E6D41"/>
    <w:rsid w:val="006219E8"/>
    <w:rsid w:val="00645A7A"/>
    <w:rsid w:val="006D57FE"/>
    <w:rsid w:val="00746F93"/>
    <w:rsid w:val="0074709C"/>
    <w:rsid w:val="00750CF9"/>
    <w:rsid w:val="007760BB"/>
    <w:rsid w:val="00785D69"/>
    <w:rsid w:val="007A2D79"/>
    <w:rsid w:val="007B3695"/>
    <w:rsid w:val="007C5F23"/>
    <w:rsid w:val="007C73C7"/>
    <w:rsid w:val="007D1CA1"/>
    <w:rsid w:val="008613B8"/>
    <w:rsid w:val="00882439"/>
    <w:rsid w:val="008854B1"/>
    <w:rsid w:val="008873DB"/>
    <w:rsid w:val="008D40A6"/>
    <w:rsid w:val="008D6A27"/>
    <w:rsid w:val="00914000"/>
    <w:rsid w:val="009319EE"/>
    <w:rsid w:val="0095760C"/>
    <w:rsid w:val="00972E21"/>
    <w:rsid w:val="009E71BD"/>
    <w:rsid w:val="009E78DF"/>
    <w:rsid w:val="00A118C0"/>
    <w:rsid w:val="00A220E7"/>
    <w:rsid w:val="00A8106E"/>
    <w:rsid w:val="00AA3998"/>
    <w:rsid w:val="00AC3E05"/>
    <w:rsid w:val="00AE6F21"/>
    <w:rsid w:val="00B01B33"/>
    <w:rsid w:val="00B309C9"/>
    <w:rsid w:val="00B311E2"/>
    <w:rsid w:val="00B45F67"/>
    <w:rsid w:val="00BB7619"/>
    <w:rsid w:val="00BC1BB9"/>
    <w:rsid w:val="00BC4D46"/>
    <w:rsid w:val="00BE2F31"/>
    <w:rsid w:val="00C04DC9"/>
    <w:rsid w:val="00C206CE"/>
    <w:rsid w:val="00C31575"/>
    <w:rsid w:val="00C361B2"/>
    <w:rsid w:val="00C50609"/>
    <w:rsid w:val="00CA54A1"/>
    <w:rsid w:val="00CC38FE"/>
    <w:rsid w:val="00CE099F"/>
    <w:rsid w:val="00D071A7"/>
    <w:rsid w:val="00DC1A03"/>
    <w:rsid w:val="00DD1960"/>
    <w:rsid w:val="00EA2A04"/>
    <w:rsid w:val="00EE0B82"/>
    <w:rsid w:val="00EE4E01"/>
    <w:rsid w:val="00F00F1E"/>
    <w:rsid w:val="00F61509"/>
    <w:rsid w:val="00F6401C"/>
    <w:rsid w:val="00F81C06"/>
    <w:rsid w:val="00F954F1"/>
    <w:rsid w:val="00FB3993"/>
    <w:rsid w:val="00FD6FDA"/>
    <w:rsid w:val="00FE2425"/>
    <w:rsid w:val="0F9C7920"/>
    <w:rsid w:val="1D5DCB84"/>
    <w:rsid w:val="1F92793F"/>
    <w:rsid w:val="20C683E4"/>
    <w:rsid w:val="28B1E14C"/>
    <w:rsid w:val="294C880C"/>
    <w:rsid w:val="296AF2B8"/>
    <w:rsid w:val="399FB4D4"/>
    <w:rsid w:val="499BF441"/>
    <w:rsid w:val="4D0C8215"/>
    <w:rsid w:val="51125464"/>
    <w:rsid w:val="6133D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6713A"/>
  <w15:chartTrackingRefBased/>
  <w15:docId w15:val="{C41C1784-EC14-4FEA-BE9A-A8E54DB7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4A1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7F9"/>
  </w:style>
  <w:style w:type="paragraph" w:styleId="Footer">
    <w:name w:val="footer"/>
    <w:basedOn w:val="Normal"/>
    <w:link w:val="FooterChar"/>
    <w:uiPriority w:val="99"/>
    <w:unhideWhenUsed/>
    <w:rsid w:val="00534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7F9"/>
  </w:style>
  <w:style w:type="table" w:styleId="TableGrid">
    <w:name w:val="Table Grid"/>
    <w:basedOn w:val="TableNormal"/>
    <w:uiPriority w:val="39"/>
    <w:rsid w:val="00534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1A0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DC1A03"/>
    <w:rPr>
      <w:color w:val="666666"/>
    </w:rPr>
  </w:style>
  <w:style w:type="paragraph" w:styleId="Revision">
    <w:name w:val="Revision"/>
    <w:hidden/>
    <w:uiPriority w:val="99"/>
    <w:semiHidden/>
    <w:rsid w:val="00DC1A03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C1A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1A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1A0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03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4948bb-23ea-464e-be83-69d5039fb77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BAE35E08FA045B02B758F2FD1CCB8" ma:contentTypeVersion="10" ma:contentTypeDescription="Create a new document." ma:contentTypeScope="" ma:versionID="3f8211c0f46e47994890a6d5c0294e18">
  <xsd:schema xmlns:xsd="http://www.w3.org/2001/XMLSchema" xmlns:xs="http://www.w3.org/2001/XMLSchema" xmlns:p="http://schemas.microsoft.com/office/2006/metadata/properties" xmlns:ns2="804948bb-23ea-464e-be83-69d5039fb778" targetNamespace="http://schemas.microsoft.com/office/2006/metadata/properties" ma:root="true" ma:fieldsID="1dbf147a6d812e0ab1778be84c7b9e91" ns2:_="">
    <xsd:import namespace="804948bb-23ea-464e-be83-69d5039fb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948bb-23ea-464e-be83-69d5039fb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f19821f-05cc-458b-8649-2b9691ee2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F887F-93C0-464D-B1FB-9937D39CA8CE}">
  <ds:schemaRefs>
    <ds:schemaRef ds:uri="http://schemas.microsoft.com/office/2006/metadata/properties"/>
    <ds:schemaRef ds:uri="http://schemas.microsoft.com/office/infopath/2007/PartnerControls"/>
    <ds:schemaRef ds:uri="804948bb-23ea-464e-be83-69d5039fb778"/>
  </ds:schemaRefs>
</ds:datastoreItem>
</file>

<file path=customXml/itemProps2.xml><?xml version="1.0" encoding="utf-8"?>
<ds:datastoreItem xmlns:ds="http://schemas.openxmlformats.org/officeDocument/2006/customXml" ds:itemID="{78DEAB3A-2B05-475F-97BC-10C163C9CB46}"/>
</file>

<file path=customXml/itemProps3.xml><?xml version="1.0" encoding="utf-8"?>
<ds:datastoreItem xmlns:ds="http://schemas.openxmlformats.org/officeDocument/2006/customXml" ds:itemID="{99F663D2-D46D-4F55-8438-300EDB35B3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A23972-DECF-47B1-BB67-41B9D1CFDE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8528603-91f5-4dc9-989b-ac7359070c1b}" enabled="0" method="" siteId="{58528603-91f5-4dc9-989b-ac7359070c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509</Words>
  <Characters>2903</Characters>
  <Application>Microsoft Office Word</Application>
  <DocSecurity>0</DocSecurity>
  <Lines>24</Lines>
  <Paragraphs>6</Paragraphs>
  <ScaleCrop>false</ScaleCrop>
  <Company>Thurston County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Bennett</dc:creator>
  <cp:keywords/>
  <dc:description/>
  <cp:lastModifiedBy>Claire Swearingen</cp:lastModifiedBy>
  <cp:revision>50</cp:revision>
  <cp:lastPrinted>2025-02-11T18:19:00Z</cp:lastPrinted>
  <dcterms:created xsi:type="dcterms:W3CDTF">2025-09-22T16:10:00Z</dcterms:created>
  <dcterms:modified xsi:type="dcterms:W3CDTF">2025-10-01T17:59:00Z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0x010100060BAE35E08FA045B02B758F2FD1CCB8</vt:lpwstr>
  </property>
  <property fmtid="{D5CDD505-2E9C-101B-9397-08002B2CF9AE}" pid="3" name="MediaServiceImageTags">
    <vt:lpwstr/>
  </property>
</Properties>
</file>